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drawings/drawing1.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2.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highlight w:val="yellow"/>
        </w:rPr>
      </w:pPr>
    </w:p>
    <w:p w:rsidR="004C6052" w:rsidRPr="00F46C7B" w:rsidRDefault="004C6052" w:rsidP="008619A6">
      <w:pPr>
        <w:pStyle w:val="a3"/>
        <w:ind w:firstLine="960"/>
        <w:contextualSpacing/>
        <w:rPr>
          <w:szCs w:val="28"/>
        </w:rPr>
      </w:pPr>
    </w:p>
    <w:tbl>
      <w:tblPr>
        <w:tblW w:w="0" w:type="auto"/>
        <w:tblInd w:w="348" w:type="dxa"/>
        <w:tblLook w:val="01E0" w:firstRow="1" w:lastRow="1" w:firstColumn="1" w:lastColumn="1" w:noHBand="0" w:noVBand="0"/>
      </w:tblPr>
      <w:tblGrid>
        <w:gridCol w:w="8388"/>
      </w:tblGrid>
      <w:tr w:rsidR="004C6052" w:rsidRPr="00F46C7B" w:rsidTr="007C50D0">
        <w:tc>
          <w:tcPr>
            <w:tcW w:w="8388" w:type="dxa"/>
          </w:tcPr>
          <w:p w:rsidR="004C6052" w:rsidRPr="00F46C7B" w:rsidRDefault="004C6052" w:rsidP="008619A6">
            <w:pPr>
              <w:pStyle w:val="a3"/>
              <w:spacing w:line="360" w:lineRule="auto"/>
              <w:ind w:firstLine="960"/>
              <w:contextualSpacing/>
              <w:jc w:val="both"/>
              <w:rPr>
                <w:b/>
                <w:szCs w:val="28"/>
              </w:rPr>
            </w:pPr>
            <w:r w:rsidRPr="00F46C7B">
              <w:rPr>
                <w:b/>
                <w:szCs w:val="28"/>
              </w:rPr>
              <w:t>В сборнике представлен обобщенный анализ деятельн</w:t>
            </w:r>
            <w:r w:rsidRPr="00F46C7B">
              <w:rPr>
                <w:b/>
                <w:szCs w:val="28"/>
              </w:rPr>
              <w:t>о</w:t>
            </w:r>
            <w:r w:rsidRPr="00F46C7B">
              <w:rPr>
                <w:b/>
                <w:szCs w:val="28"/>
              </w:rPr>
              <w:t>сти Верховного Суда Республики Татарстан, районных (горо</w:t>
            </w:r>
            <w:r w:rsidRPr="00F46C7B">
              <w:rPr>
                <w:b/>
                <w:szCs w:val="28"/>
              </w:rPr>
              <w:t>д</w:t>
            </w:r>
            <w:r w:rsidRPr="00F46C7B">
              <w:rPr>
                <w:b/>
                <w:szCs w:val="28"/>
              </w:rPr>
              <w:t>ских) судов и мировых судей Республики Татарстан с испол</w:t>
            </w:r>
            <w:r w:rsidRPr="00F46C7B">
              <w:rPr>
                <w:b/>
                <w:szCs w:val="28"/>
              </w:rPr>
              <w:t>ь</w:t>
            </w:r>
            <w:r w:rsidRPr="00F46C7B">
              <w:rPr>
                <w:b/>
                <w:szCs w:val="28"/>
              </w:rPr>
              <w:t>зованием аналитических таблиц и графиков, а также примен</w:t>
            </w:r>
            <w:r w:rsidRPr="00F46C7B">
              <w:rPr>
                <w:b/>
                <w:szCs w:val="28"/>
              </w:rPr>
              <w:t>е</w:t>
            </w:r>
            <w:r w:rsidRPr="00F46C7B">
              <w:rPr>
                <w:b/>
                <w:szCs w:val="28"/>
              </w:rPr>
              <w:t>нием некоторых методов статистического анализа и прогнозиров</w:t>
            </w:r>
            <w:r w:rsidRPr="00F46C7B">
              <w:rPr>
                <w:b/>
                <w:szCs w:val="28"/>
              </w:rPr>
              <w:t>а</w:t>
            </w:r>
            <w:r w:rsidRPr="00F46C7B">
              <w:rPr>
                <w:b/>
                <w:szCs w:val="28"/>
              </w:rPr>
              <w:t xml:space="preserve">ния. </w:t>
            </w:r>
          </w:p>
          <w:p w:rsidR="004C6052" w:rsidRPr="00F46C7B" w:rsidRDefault="004C6052" w:rsidP="008619A6">
            <w:pPr>
              <w:pStyle w:val="a3"/>
              <w:spacing w:line="360" w:lineRule="auto"/>
              <w:ind w:firstLine="960"/>
              <w:contextualSpacing/>
              <w:jc w:val="both"/>
              <w:rPr>
                <w:b/>
                <w:szCs w:val="28"/>
              </w:rPr>
            </w:pPr>
            <w:r w:rsidRPr="00F46C7B">
              <w:rPr>
                <w:b/>
                <w:szCs w:val="28"/>
              </w:rPr>
              <w:t>Основным источником данных для статистического анализа и обобщения являются сводные статистические отч</w:t>
            </w:r>
            <w:r w:rsidRPr="00F46C7B">
              <w:rPr>
                <w:b/>
                <w:szCs w:val="28"/>
              </w:rPr>
              <w:t>е</w:t>
            </w:r>
            <w:r w:rsidRPr="00F46C7B">
              <w:rPr>
                <w:b/>
                <w:szCs w:val="28"/>
              </w:rPr>
              <w:t>ты Верховного Суда Республики Татарстан, районных (горо</w:t>
            </w:r>
            <w:r w:rsidRPr="00F46C7B">
              <w:rPr>
                <w:b/>
                <w:szCs w:val="28"/>
              </w:rPr>
              <w:t>д</w:t>
            </w:r>
            <w:r w:rsidRPr="00F46C7B">
              <w:rPr>
                <w:b/>
                <w:szCs w:val="28"/>
              </w:rPr>
              <w:t>ских) судов и мировых судей Республики Татарстан, предста</w:t>
            </w:r>
            <w:r w:rsidRPr="00F46C7B">
              <w:rPr>
                <w:b/>
                <w:szCs w:val="28"/>
              </w:rPr>
              <w:t>в</w:t>
            </w:r>
            <w:r w:rsidRPr="00F46C7B">
              <w:rPr>
                <w:b/>
                <w:szCs w:val="28"/>
              </w:rPr>
              <w:t>ленные в период с 2013 по 2017 годы.</w:t>
            </w:r>
          </w:p>
          <w:p w:rsidR="004C6052" w:rsidRPr="00F46C7B" w:rsidRDefault="004C6052" w:rsidP="008619A6">
            <w:pPr>
              <w:pStyle w:val="a3"/>
              <w:spacing w:line="360" w:lineRule="auto"/>
              <w:ind w:firstLine="960"/>
              <w:contextualSpacing/>
              <w:jc w:val="both"/>
              <w:rPr>
                <w:b/>
                <w:szCs w:val="28"/>
              </w:rPr>
            </w:pPr>
          </w:p>
          <w:p w:rsidR="004C6052" w:rsidRPr="00F46C7B" w:rsidRDefault="004C6052" w:rsidP="008619A6">
            <w:pPr>
              <w:pStyle w:val="a3"/>
              <w:ind w:firstLine="960"/>
              <w:contextualSpacing/>
              <w:jc w:val="left"/>
              <w:rPr>
                <w:b/>
                <w:szCs w:val="28"/>
              </w:rPr>
            </w:pPr>
            <w:r w:rsidRPr="00F46C7B">
              <w:rPr>
                <w:b/>
                <w:szCs w:val="28"/>
              </w:rPr>
              <w:t xml:space="preserve">                   **********************</w:t>
            </w:r>
          </w:p>
          <w:p w:rsidR="004C6052" w:rsidRPr="00F46C7B" w:rsidRDefault="004C6052" w:rsidP="008619A6">
            <w:pPr>
              <w:pStyle w:val="a3"/>
              <w:ind w:firstLine="960"/>
              <w:contextualSpacing/>
              <w:jc w:val="both"/>
              <w:rPr>
                <w:b/>
                <w:szCs w:val="28"/>
              </w:rPr>
            </w:pPr>
          </w:p>
          <w:p w:rsidR="004C6052" w:rsidRPr="00F46C7B" w:rsidRDefault="004C6052" w:rsidP="008619A6">
            <w:pPr>
              <w:pStyle w:val="a3"/>
              <w:contextualSpacing/>
              <w:jc w:val="both"/>
              <w:rPr>
                <w:b/>
                <w:szCs w:val="28"/>
              </w:rPr>
            </w:pPr>
          </w:p>
        </w:tc>
      </w:tr>
    </w:tbl>
    <w:p w:rsidR="004C6052" w:rsidRPr="00F46C7B" w:rsidRDefault="004C6052" w:rsidP="008619A6">
      <w:pPr>
        <w:pStyle w:val="a3"/>
        <w:ind w:firstLine="960"/>
        <w:contextualSpacing/>
        <w:jc w:val="both"/>
        <w:rPr>
          <w:szCs w:val="28"/>
          <w:highlight w:val="yellow"/>
        </w:rPr>
      </w:pPr>
    </w:p>
    <w:p w:rsidR="004C6052" w:rsidRPr="00F46C7B" w:rsidRDefault="004C6052" w:rsidP="008619A6">
      <w:pPr>
        <w:pStyle w:val="a3"/>
        <w:ind w:firstLine="960"/>
        <w:contextualSpacing/>
        <w:jc w:val="both"/>
        <w:rPr>
          <w:szCs w:val="28"/>
          <w:highlight w:val="yellow"/>
        </w:rPr>
      </w:pPr>
    </w:p>
    <w:p w:rsidR="004C6052" w:rsidRPr="00F46C7B" w:rsidRDefault="004C6052" w:rsidP="008619A6">
      <w:pPr>
        <w:pStyle w:val="a3"/>
        <w:ind w:firstLine="960"/>
        <w:contextualSpacing/>
        <w:jc w:val="both"/>
        <w:rPr>
          <w:szCs w:val="28"/>
          <w:highlight w:val="yellow"/>
        </w:rPr>
      </w:pPr>
    </w:p>
    <w:p w:rsidR="004C6052" w:rsidRPr="00F46C7B" w:rsidRDefault="004C6052" w:rsidP="008619A6">
      <w:pPr>
        <w:pStyle w:val="a3"/>
        <w:ind w:firstLine="960"/>
        <w:contextualSpacing/>
        <w:jc w:val="both"/>
        <w:rPr>
          <w:szCs w:val="28"/>
          <w:highlight w:val="yellow"/>
        </w:rPr>
      </w:pPr>
    </w:p>
    <w:p w:rsidR="004C6052" w:rsidRPr="00F46C7B" w:rsidRDefault="004C6052" w:rsidP="008619A6">
      <w:pPr>
        <w:pStyle w:val="a3"/>
        <w:ind w:firstLine="960"/>
        <w:contextualSpacing/>
        <w:jc w:val="both"/>
        <w:rPr>
          <w:szCs w:val="28"/>
          <w:highlight w:val="yellow"/>
        </w:rPr>
      </w:pPr>
    </w:p>
    <w:p w:rsidR="004C6052" w:rsidRPr="00F46C7B" w:rsidRDefault="004C6052" w:rsidP="008619A6">
      <w:pPr>
        <w:pStyle w:val="a3"/>
        <w:ind w:firstLine="960"/>
        <w:contextualSpacing/>
        <w:jc w:val="both"/>
        <w:rPr>
          <w:szCs w:val="28"/>
          <w:highlight w:val="yellow"/>
        </w:rPr>
      </w:pPr>
    </w:p>
    <w:p w:rsidR="004C6052" w:rsidRPr="00F46C7B" w:rsidRDefault="004C6052" w:rsidP="008619A6">
      <w:pPr>
        <w:pStyle w:val="a3"/>
        <w:ind w:firstLine="960"/>
        <w:contextualSpacing/>
        <w:jc w:val="both"/>
        <w:rPr>
          <w:szCs w:val="28"/>
          <w:highlight w:val="yellow"/>
        </w:rPr>
      </w:pPr>
    </w:p>
    <w:p w:rsidR="004C6052" w:rsidRPr="00F46C7B" w:rsidRDefault="004C6052" w:rsidP="008619A6">
      <w:pPr>
        <w:pStyle w:val="a3"/>
        <w:contextualSpacing/>
        <w:jc w:val="both"/>
        <w:rPr>
          <w:sz w:val="22"/>
          <w:szCs w:val="22"/>
          <w:u w:val="single"/>
        </w:rPr>
      </w:pPr>
      <w:r w:rsidRPr="00F46C7B">
        <w:rPr>
          <w:sz w:val="22"/>
          <w:szCs w:val="22"/>
          <w:u w:val="single"/>
        </w:rPr>
        <w:t>Авторы:</w:t>
      </w:r>
    </w:p>
    <w:p w:rsidR="004C6052" w:rsidRPr="00F46C7B" w:rsidRDefault="004C6052" w:rsidP="008619A6">
      <w:pPr>
        <w:pStyle w:val="a3"/>
        <w:contextualSpacing/>
        <w:jc w:val="both"/>
        <w:rPr>
          <w:sz w:val="22"/>
          <w:szCs w:val="22"/>
        </w:rPr>
      </w:pPr>
      <w:r w:rsidRPr="00F46C7B">
        <w:rPr>
          <w:sz w:val="22"/>
          <w:szCs w:val="22"/>
        </w:rPr>
        <w:t xml:space="preserve">Рубан Л.П., </w:t>
      </w:r>
      <w:proofErr w:type="spellStart"/>
      <w:r w:rsidRPr="00F46C7B">
        <w:rPr>
          <w:sz w:val="22"/>
          <w:szCs w:val="22"/>
        </w:rPr>
        <w:t>Сагитова</w:t>
      </w:r>
      <w:proofErr w:type="spellEnd"/>
      <w:r w:rsidRPr="00F46C7B">
        <w:rPr>
          <w:sz w:val="22"/>
          <w:szCs w:val="22"/>
        </w:rPr>
        <w:t xml:space="preserve"> Г.Р., Шакирова Г.И,  Гафурова А.</w:t>
      </w:r>
      <w:r w:rsidR="00F46C7B">
        <w:rPr>
          <w:sz w:val="22"/>
          <w:szCs w:val="22"/>
        </w:rPr>
        <w:t>А</w:t>
      </w:r>
      <w:r w:rsidRPr="00F46C7B">
        <w:rPr>
          <w:sz w:val="22"/>
          <w:szCs w:val="22"/>
        </w:rPr>
        <w:t>.</w:t>
      </w:r>
    </w:p>
    <w:p w:rsidR="004C6052" w:rsidRPr="00F46C7B" w:rsidRDefault="004C6052" w:rsidP="008619A6">
      <w:pPr>
        <w:pStyle w:val="a3"/>
        <w:contextualSpacing/>
        <w:jc w:val="both"/>
        <w:rPr>
          <w:sz w:val="20"/>
        </w:rPr>
      </w:pPr>
      <w:r w:rsidRPr="00F46C7B">
        <w:rPr>
          <w:sz w:val="22"/>
          <w:szCs w:val="22"/>
        </w:rPr>
        <w:t>Телефон: (843) 264-90-14</w:t>
      </w:r>
    </w:p>
    <w:p w:rsidR="004C6052" w:rsidRPr="00F46C7B" w:rsidRDefault="004C6052" w:rsidP="008619A6">
      <w:pPr>
        <w:contextualSpacing/>
        <w:rPr>
          <w:highlight w:val="yellow"/>
        </w:rPr>
      </w:pPr>
    </w:p>
    <w:p w:rsidR="004C6052" w:rsidRPr="006E5A76" w:rsidRDefault="004C6052" w:rsidP="008619A6">
      <w:pPr>
        <w:contextualSpacing/>
        <w:rPr>
          <w:color w:val="0000FF"/>
          <w:highlight w:val="yellow"/>
        </w:rPr>
      </w:pPr>
    </w:p>
    <w:tbl>
      <w:tblPr>
        <w:tblW w:w="10038" w:type="dxa"/>
        <w:tblInd w:w="-432" w:type="dxa"/>
        <w:tblLayout w:type="fixed"/>
        <w:tblLook w:val="01E0" w:firstRow="1" w:lastRow="1" w:firstColumn="1" w:lastColumn="1" w:noHBand="0" w:noVBand="0"/>
      </w:tblPr>
      <w:tblGrid>
        <w:gridCol w:w="9360"/>
        <w:gridCol w:w="678"/>
      </w:tblGrid>
      <w:tr w:rsidR="004C6052" w:rsidRPr="00B64A08" w:rsidTr="007C50D0">
        <w:trPr>
          <w:trHeight w:val="709"/>
        </w:trPr>
        <w:tc>
          <w:tcPr>
            <w:tcW w:w="9360" w:type="dxa"/>
            <w:shd w:val="clear" w:color="auto" w:fill="auto"/>
          </w:tcPr>
          <w:p w:rsidR="004C6052" w:rsidRPr="00B64A08" w:rsidRDefault="004C6052" w:rsidP="008619A6">
            <w:pPr>
              <w:contextualSpacing/>
              <w:rPr>
                <w:b/>
                <w:sz w:val="28"/>
                <w:szCs w:val="28"/>
              </w:rPr>
            </w:pPr>
          </w:p>
          <w:p w:rsidR="004C6052" w:rsidRPr="00B64A08" w:rsidRDefault="004C6052" w:rsidP="008619A6">
            <w:pPr>
              <w:contextualSpacing/>
              <w:rPr>
                <w:b/>
                <w:sz w:val="28"/>
                <w:szCs w:val="28"/>
              </w:rPr>
            </w:pPr>
          </w:p>
          <w:p w:rsidR="004C6052" w:rsidRPr="00B64A08" w:rsidRDefault="004C6052" w:rsidP="008619A6">
            <w:pPr>
              <w:contextualSpacing/>
              <w:rPr>
                <w:b/>
                <w:sz w:val="28"/>
                <w:szCs w:val="28"/>
              </w:rPr>
            </w:pPr>
          </w:p>
          <w:p w:rsidR="004C6052" w:rsidRPr="00B64A08" w:rsidRDefault="004C6052" w:rsidP="008619A6">
            <w:pPr>
              <w:contextualSpacing/>
              <w:rPr>
                <w:b/>
                <w:sz w:val="28"/>
                <w:szCs w:val="28"/>
              </w:rPr>
            </w:pPr>
          </w:p>
          <w:p w:rsidR="004C6052" w:rsidRPr="00B64A08" w:rsidRDefault="004C6052" w:rsidP="008619A6">
            <w:pPr>
              <w:contextualSpacing/>
              <w:rPr>
                <w:b/>
                <w:sz w:val="28"/>
                <w:szCs w:val="28"/>
              </w:rPr>
            </w:pPr>
            <w:r w:rsidRPr="00B64A08">
              <w:rPr>
                <w:b/>
                <w:sz w:val="28"/>
                <w:szCs w:val="28"/>
              </w:rPr>
              <w:t xml:space="preserve"> </w:t>
            </w:r>
          </w:p>
          <w:p w:rsidR="004C6052" w:rsidRPr="00B64A08" w:rsidRDefault="004C6052" w:rsidP="008619A6">
            <w:pPr>
              <w:contextualSpacing/>
              <w:rPr>
                <w:b/>
                <w:sz w:val="28"/>
                <w:szCs w:val="28"/>
              </w:rPr>
            </w:pPr>
            <w:r w:rsidRPr="00B64A08">
              <w:rPr>
                <w:b/>
                <w:sz w:val="28"/>
                <w:szCs w:val="28"/>
              </w:rPr>
              <w:t>Оглавление</w:t>
            </w:r>
          </w:p>
          <w:p w:rsidR="004C6052" w:rsidRPr="00B64A08" w:rsidRDefault="004C6052" w:rsidP="008619A6">
            <w:pPr>
              <w:contextualSpacing/>
              <w:jc w:val="center"/>
              <w:rPr>
                <w:b/>
                <w:sz w:val="24"/>
                <w:szCs w:val="24"/>
              </w:rPr>
            </w:pPr>
          </w:p>
        </w:tc>
        <w:tc>
          <w:tcPr>
            <w:tcW w:w="678" w:type="dxa"/>
            <w:shd w:val="clear" w:color="auto" w:fill="auto"/>
          </w:tcPr>
          <w:p w:rsidR="004C6052" w:rsidRPr="00B64A08" w:rsidRDefault="004C6052" w:rsidP="008619A6">
            <w:pPr>
              <w:contextualSpacing/>
              <w:jc w:val="right"/>
              <w:rPr>
                <w:b/>
              </w:rPr>
            </w:pPr>
          </w:p>
          <w:p w:rsidR="004C6052" w:rsidRPr="00B64A08" w:rsidRDefault="004C6052" w:rsidP="008619A6">
            <w:pPr>
              <w:contextualSpacing/>
              <w:jc w:val="right"/>
              <w:rPr>
                <w:b/>
              </w:rPr>
            </w:pPr>
          </w:p>
          <w:p w:rsidR="004C6052" w:rsidRPr="00B64A08" w:rsidRDefault="004C6052" w:rsidP="008619A6">
            <w:pPr>
              <w:contextualSpacing/>
              <w:jc w:val="right"/>
              <w:rPr>
                <w:b/>
              </w:rPr>
            </w:pPr>
          </w:p>
          <w:p w:rsidR="004C6052" w:rsidRPr="00B64A08" w:rsidRDefault="004C6052" w:rsidP="008619A6">
            <w:pPr>
              <w:contextualSpacing/>
              <w:jc w:val="right"/>
              <w:rPr>
                <w:b/>
              </w:rPr>
            </w:pPr>
          </w:p>
          <w:p w:rsidR="004C6052" w:rsidRPr="00B64A08" w:rsidRDefault="004C6052" w:rsidP="008619A6">
            <w:pPr>
              <w:contextualSpacing/>
              <w:jc w:val="right"/>
              <w:rPr>
                <w:b/>
              </w:rPr>
            </w:pPr>
          </w:p>
          <w:p w:rsidR="004C6052" w:rsidRPr="00B64A08" w:rsidRDefault="004C6052" w:rsidP="008619A6">
            <w:pPr>
              <w:contextualSpacing/>
              <w:jc w:val="right"/>
              <w:rPr>
                <w:b/>
              </w:rPr>
            </w:pPr>
          </w:p>
          <w:p w:rsidR="004C6052" w:rsidRPr="00B64A08" w:rsidRDefault="004C6052" w:rsidP="008619A6">
            <w:pPr>
              <w:contextualSpacing/>
              <w:jc w:val="right"/>
              <w:rPr>
                <w:b/>
              </w:rPr>
            </w:pPr>
          </w:p>
          <w:p w:rsidR="004C6052" w:rsidRPr="00B64A08" w:rsidRDefault="004C6052" w:rsidP="008619A6">
            <w:pPr>
              <w:contextualSpacing/>
              <w:jc w:val="right"/>
              <w:rPr>
                <w:b/>
              </w:rPr>
            </w:pPr>
          </w:p>
          <w:p w:rsidR="004C6052" w:rsidRPr="00B64A08" w:rsidRDefault="004C6052" w:rsidP="008619A6">
            <w:pPr>
              <w:contextualSpacing/>
              <w:jc w:val="right"/>
              <w:rPr>
                <w:b/>
              </w:rPr>
            </w:pPr>
          </w:p>
          <w:p w:rsidR="004C6052" w:rsidRPr="00B64A08" w:rsidRDefault="004C6052" w:rsidP="008619A6">
            <w:pPr>
              <w:contextualSpacing/>
              <w:jc w:val="right"/>
              <w:rPr>
                <w:b/>
              </w:rPr>
            </w:pPr>
          </w:p>
        </w:tc>
      </w:tr>
      <w:tr w:rsidR="004C6052" w:rsidRPr="00B64A08" w:rsidTr="007C50D0">
        <w:trPr>
          <w:trHeight w:val="270"/>
        </w:trPr>
        <w:tc>
          <w:tcPr>
            <w:tcW w:w="9360" w:type="dxa"/>
          </w:tcPr>
          <w:p w:rsidR="004C6052" w:rsidRPr="00B64A08" w:rsidRDefault="004C6052" w:rsidP="008619A6">
            <w:pPr>
              <w:pStyle w:val="a3"/>
              <w:contextualSpacing/>
              <w:jc w:val="both"/>
              <w:rPr>
                <w:b/>
                <w:sz w:val="24"/>
                <w:szCs w:val="24"/>
              </w:rPr>
            </w:pPr>
            <w:r w:rsidRPr="00B64A08">
              <w:rPr>
                <w:b/>
                <w:sz w:val="24"/>
                <w:szCs w:val="24"/>
              </w:rPr>
              <w:t>1. Анализ деятельности Верховного суда Республики Татарстан</w:t>
            </w:r>
          </w:p>
        </w:tc>
        <w:tc>
          <w:tcPr>
            <w:tcW w:w="678" w:type="dxa"/>
          </w:tcPr>
          <w:p w:rsidR="004C6052" w:rsidRPr="00B64A08" w:rsidRDefault="004C6052" w:rsidP="008619A6">
            <w:pPr>
              <w:contextualSpacing/>
              <w:jc w:val="right"/>
              <w:rPr>
                <w:b/>
              </w:rPr>
            </w:pPr>
            <w:r w:rsidRPr="00B64A08">
              <w:rPr>
                <w:b/>
              </w:rPr>
              <w:t>4</w:t>
            </w:r>
          </w:p>
        </w:tc>
      </w:tr>
      <w:tr w:rsidR="004C6052" w:rsidRPr="00B64A08" w:rsidTr="007C50D0">
        <w:trPr>
          <w:trHeight w:val="270"/>
        </w:trPr>
        <w:tc>
          <w:tcPr>
            <w:tcW w:w="9360" w:type="dxa"/>
          </w:tcPr>
          <w:p w:rsidR="004C6052" w:rsidRPr="00B64A08" w:rsidRDefault="004C6052" w:rsidP="008619A6">
            <w:pPr>
              <w:pStyle w:val="a3"/>
              <w:contextualSpacing/>
              <w:jc w:val="both"/>
              <w:rPr>
                <w:b/>
                <w:sz w:val="24"/>
                <w:szCs w:val="24"/>
              </w:rPr>
            </w:pPr>
          </w:p>
        </w:tc>
        <w:tc>
          <w:tcPr>
            <w:tcW w:w="678" w:type="dxa"/>
          </w:tcPr>
          <w:p w:rsidR="004C6052" w:rsidRPr="00B64A08" w:rsidRDefault="004C6052" w:rsidP="008619A6">
            <w:pPr>
              <w:contextualSpacing/>
              <w:jc w:val="right"/>
              <w:rPr>
                <w:b/>
              </w:rPr>
            </w:pPr>
          </w:p>
        </w:tc>
      </w:tr>
      <w:tr w:rsidR="004C6052" w:rsidRPr="00B64A08" w:rsidTr="007C50D0">
        <w:trPr>
          <w:trHeight w:val="270"/>
        </w:trPr>
        <w:tc>
          <w:tcPr>
            <w:tcW w:w="9360" w:type="dxa"/>
          </w:tcPr>
          <w:p w:rsidR="004C6052" w:rsidRPr="00B64A08" w:rsidRDefault="004C6052" w:rsidP="008619A6">
            <w:pPr>
              <w:pStyle w:val="a3"/>
              <w:contextualSpacing/>
              <w:jc w:val="both"/>
              <w:rPr>
                <w:b/>
                <w:sz w:val="24"/>
                <w:szCs w:val="24"/>
              </w:rPr>
            </w:pPr>
            <w:r w:rsidRPr="00B64A08">
              <w:rPr>
                <w:b/>
                <w:sz w:val="24"/>
                <w:szCs w:val="24"/>
              </w:rPr>
              <w:t>2. Анализ деятельности районных (городских) судов Республики Татарстан</w:t>
            </w:r>
          </w:p>
          <w:p w:rsidR="004C6052" w:rsidRPr="00B64A08" w:rsidRDefault="004C6052" w:rsidP="008619A6">
            <w:pPr>
              <w:contextualSpacing/>
              <w:jc w:val="both"/>
              <w:rPr>
                <w:b/>
                <w:sz w:val="24"/>
                <w:szCs w:val="24"/>
              </w:rPr>
            </w:pPr>
          </w:p>
        </w:tc>
        <w:tc>
          <w:tcPr>
            <w:tcW w:w="678" w:type="dxa"/>
          </w:tcPr>
          <w:p w:rsidR="004C6052" w:rsidRPr="00B64A08" w:rsidRDefault="000A06D8" w:rsidP="008619A6">
            <w:pPr>
              <w:contextualSpacing/>
              <w:jc w:val="right"/>
              <w:rPr>
                <w:b/>
              </w:rPr>
            </w:pPr>
            <w:r>
              <w:rPr>
                <w:b/>
              </w:rPr>
              <w:t>15</w:t>
            </w:r>
          </w:p>
        </w:tc>
      </w:tr>
      <w:tr w:rsidR="004C6052" w:rsidRPr="00B64A08" w:rsidTr="007C50D0">
        <w:trPr>
          <w:trHeight w:val="430"/>
        </w:trPr>
        <w:tc>
          <w:tcPr>
            <w:tcW w:w="9360" w:type="dxa"/>
          </w:tcPr>
          <w:p w:rsidR="004C6052" w:rsidRPr="00B64A08" w:rsidRDefault="004C6052" w:rsidP="008619A6">
            <w:pPr>
              <w:pStyle w:val="a3"/>
              <w:contextualSpacing/>
              <w:jc w:val="both"/>
              <w:rPr>
                <w:b/>
                <w:sz w:val="24"/>
                <w:szCs w:val="24"/>
              </w:rPr>
            </w:pPr>
            <w:r w:rsidRPr="00B64A08">
              <w:rPr>
                <w:b/>
                <w:sz w:val="24"/>
                <w:szCs w:val="24"/>
              </w:rPr>
              <w:t>3. Анализ деятельности мировых судей Республики Татарстан</w:t>
            </w:r>
          </w:p>
          <w:p w:rsidR="004C6052" w:rsidRPr="00B64A08" w:rsidRDefault="004C6052" w:rsidP="008619A6">
            <w:pPr>
              <w:contextualSpacing/>
              <w:jc w:val="both"/>
              <w:rPr>
                <w:b/>
                <w:sz w:val="24"/>
                <w:szCs w:val="24"/>
              </w:rPr>
            </w:pPr>
          </w:p>
        </w:tc>
        <w:tc>
          <w:tcPr>
            <w:tcW w:w="678" w:type="dxa"/>
          </w:tcPr>
          <w:p w:rsidR="004C6052" w:rsidRPr="00B64A08" w:rsidRDefault="000A06D8" w:rsidP="008619A6">
            <w:pPr>
              <w:contextualSpacing/>
              <w:jc w:val="right"/>
              <w:rPr>
                <w:b/>
              </w:rPr>
            </w:pPr>
            <w:r>
              <w:rPr>
                <w:b/>
              </w:rPr>
              <w:t>45</w:t>
            </w:r>
          </w:p>
        </w:tc>
      </w:tr>
      <w:tr w:rsidR="004C6052" w:rsidRPr="00B64A08" w:rsidTr="007C50D0">
        <w:trPr>
          <w:trHeight w:val="590"/>
        </w:trPr>
        <w:tc>
          <w:tcPr>
            <w:tcW w:w="9360" w:type="dxa"/>
          </w:tcPr>
          <w:p w:rsidR="004C6052" w:rsidRPr="00B64A08" w:rsidRDefault="004C6052" w:rsidP="008619A6">
            <w:pPr>
              <w:pStyle w:val="a3"/>
              <w:contextualSpacing/>
              <w:jc w:val="both"/>
              <w:rPr>
                <w:b/>
                <w:sz w:val="24"/>
                <w:szCs w:val="24"/>
              </w:rPr>
            </w:pPr>
            <w:r w:rsidRPr="00B64A08">
              <w:rPr>
                <w:b/>
                <w:sz w:val="24"/>
                <w:szCs w:val="24"/>
              </w:rPr>
              <w:t>4. Анализ состояния судимости в Республике Татарстан</w:t>
            </w:r>
          </w:p>
        </w:tc>
        <w:tc>
          <w:tcPr>
            <w:tcW w:w="678" w:type="dxa"/>
          </w:tcPr>
          <w:p w:rsidR="004C6052" w:rsidRDefault="000A06D8" w:rsidP="008619A6">
            <w:pPr>
              <w:contextualSpacing/>
              <w:jc w:val="right"/>
              <w:rPr>
                <w:b/>
              </w:rPr>
            </w:pPr>
            <w:r>
              <w:rPr>
                <w:b/>
              </w:rPr>
              <w:t>60</w:t>
            </w:r>
          </w:p>
          <w:p w:rsidR="000A06D8" w:rsidRPr="00B64A08" w:rsidRDefault="000A06D8" w:rsidP="008619A6">
            <w:pPr>
              <w:contextualSpacing/>
              <w:jc w:val="right"/>
              <w:rPr>
                <w:b/>
              </w:rPr>
            </w:pPr>
          </w:p>
        </w:tc>
      </w:tr>
      <w:tr w:rsidR="004C6052" w:rsidRPr="00B64A08" w:rsidTr="007C50D0">
        <w:trPr>
          <w:trHeight w:val="590"/>
        </w:trPr>
        <w:tc>
          <w:tcPr>
            <w:tcW w:w="9360" w:type="dxa"/>
          </w:tcPr>
          <w:p w:rsidR="004C6052" w:rsidRPr="00B64A08" w:rsidRDefault="004C6052" w:rsidP="008619A6">
            <w:pPr>
              <w:pStyle w:val="a3"/>
              <w:contextualSpacing/>
              <w:jc w:val="both"/>
              <w:rPr>
                <w:b/>
                <w:sz w:val="24"/>
                <w:szCs w:val="24"/>
              </w:rPr>
            </w:pPr>
            <w:r w:rsidRPr="00B64A08">
              <w:rPr>
                <w:b/>
                <w:sz w:val="24"/>
                <w:szCs w:val="24"/>
              </w:rPr>
              <w:t>5. Приложения</w:t>
            </w:r>
          </w:p>
          <w:p w:rsidR="004C6052" w:rsidRPr="00B64A08" w:rsidRDefault="004C6052" w:rsidP="008619A6">
            <w:pPr>
              <w:ind w:firstLine="72"/>
              <w:contextualSpacing/>
              <w:jc w:val="both"/>
              <w:rPr>
                <w:b/>
                <w:sz w:val="24"/>
                <w:szCs w:val="24"/>
              </w:rPr>
            </w:pPr>
          </w:p>
        </w:tc>
        <w:tc>
          <w:tcPr>
            <w:tcW w:w="678" w:type="dxa"/>
          </w:tcPr>
          <w:p w:rsidR="004C6052" w:rsidRPr="00B64A08" w:rsidRDefault="004C6052" w:rsidP="008619A6">
            <w:pPr>
              <w:contextualSpacing/>
              <w:jc w:val="right"/>
              <w:rPr>
                <w:b/>
              </w:rPr>
            </w:pPr>
          </w:p>
        </w:tc>
      </w:tr>
      <w:tr w:rsidR="004C6052" w:rsidRPr="006E5A76" w:rsidTr="007C50D0">
        <w:trPr>
          <w:trHeight w:val="404"/>
        </w:trPr>
        <w:tc>
          <w:tcPr>
            <w:tcW w:w="9360" w:type="dxa"/>
          </w:tcPr>
          <w:p w:rsidR="004C6052" w:rsidRPr="000A06D8" w:rsidRDefault="004C6052" w:rsidP="008619A6">
            <w:pPr>
              <w:pStyle w:val="a3"/>
              <w:contextualSpacing/>
              <w:jc w:val="both"/>
              <w:rPr>
                <w:b/>
                <w:sz w:val="24"/>
                <w:szCs w:val="24"/>
              </w:rPr>
            </w:pPr>
            <w:r w:rsidRPr="000A06D8">
              <w:rPr>
                <w:b/>
                <w:sz w:val="24"/>
                <w:szCs w:val="24"/>
              </w:rPr>
              <w:t>4.1. Общие сведения о работе районных (городских) судов Республики Т</w:t>
            </w:r>
            <w:r w:rsidRPr="000A06D8">
              <w:rPr>
                <w:b/>
                <w:sz w:val="24"/>
                <w:szCs w:val="24"/>
              </w:rPr>
              <w:t>а</w:t>
            </w:r>
            <w:r w:rsidRPr="000A06D8">
              <w:rPr>
                <w:b/>
                <w:sz w:val="24"/>
                <w:szCs w:val="24"/>
              </w:rPr>
              <w:t>тарстан</w:t>
            </w:r>
          </w:p>
          <w:p w:rsidR="004C6052" w:rsidRPr="000A06D8" w:rsidRDefault="004C6052" w:rsidP="008619A6">
            <w:pPr>
              <w:contextualSpacing/>
              <w:jc w:val="both"/>
              <w:rPr>
                <w:b/>
                <w:sz w:val="24"/>
                <w:szCs w:val="24"/>
              </w:rPr>
            </w:pPr>
          </w:p>
        </w:tc>
        <w:tc>
          <w:tcPr>
            <w:tcW w:w="678" w:type="dxa"/>
          </w:tcPr>
          <w:p w:rsidR="004C6052" w:rsidRPr="000A06D8" w:rsidRDefault="000A06D8" w:rsidP="008619A6">
            <w:pPr>
              <w:contextualSpacing/>
              <w:jc w:val="right"/>
              <w:rPr>
                <w:b/>
              </w:rPr>
            </w:pPr>
            <w:r w:rsidRPr="000A06D8">
              <w:rPr>
                <w:b/>
              </w:rPr>
              <w:t>69</w:t>
            </w:r>
          </w:p>
        </w:tc>
      </w:tr>
      <w:tr w:rsidR="004C6052" w:rsidRPr="006E5A76" w:rsidTr="007C50D0">
        <w:trPr>
          <w:trHeight w:val="410"/>
        </w:trPr>
        <w:tc>
          <w:tcPr>
            <w:tcW w:w="9360" w:type="dxa"/>
          </w:tcPr>
          <w:p w:rsidR="004C6052" w:rsidRPr="000A06D8" w:rsidRDefault="004C6052" w:rsidP="008619A6">
            <w:pPr>
              <w:pStyle w:val="a3"/>
              <w:contextualSpacing/>
              <w:jc w:val="both"/>
              <w:rPr>
                <w:b/>
                <w:sz w:val="24"/>
                <w:szCs w:val="24"/>
              </w:rPr>
            </w:pPr>
            <w:r w:rsidRPr="000A06D8">
              <w:rPr>
                <w:b/>
                <w:sz w:val="24"/>
                <w:szCs w:val="24"/>
              </w:rPr>
              <w:t>4.2. Результаты рассмотрения уголовных дел районными (городскими) судами Республики Татарстан</w:t>
            </w:r>
          </w:p>
          <w:p w:rsidR="004C6052" w:rsidRPr="000A06D8" w:rsidRDefault="004C6052" w:rsidP="008619A6">
            <w:pPr>
              <w:pStyle w:val="a3"/>
              <w:ind w:left="1283" w:hanging="1283"/>
              <w:contextualSpacing/>
              <w:jc w:val="both"/>
              <w:rPr>
                <w:b/>
                <w:sz w:val="24"/>
                <w:szCs w:val="24"/>
              </w:rPr>
            </w:pPr>
          </w:p>
        </w:tc>
        <w:tc>
          <w:tcPr>
            <w:tcW w:w="678" w:type="dxa"/>
          </w:tcPr>
          <w:p w:rsidR="004C6052" w:rsidRPr="000A06D8" w:rsidRDefault="000A06D8" w:rsidP="008619A6">
            <w:pPr>
              <w:contextualSpacing/>
              <w:jc w:val="right"/>
              <w:rPr>
                <w:b/>
              </w:rPr>
            </w:pPr>
            <w:r w:rsidRPr="000A06D8">
              <w:rPr>
                <w:b/>
              </w:rPr>
              <w:t>72</w:t>
            </w:r>
          </w:p>
        </w:tc>
      </w:tr>
      <w:tr w:rsidR="004C6052" w:rsidRPr="006E5A76" w:rsidTr="007C50D0">
        <w:trPr>
          <w:trHeight w:val="410"/>
        </w:trPr>
        <w:tc>
          <w:tcPr>
            <w:tcW w:w="9360" w:type="dxa"/>
          </w:tcPr>
          <w:p w:rsidR="004C6052" w:rsidRPr="000A06D8" w:rsidRDefault="004C6052" w:rsidP="008619A6">
            <w:pPr>
              <w:pStyle w:val="a3"/>
              <w:contextualSpacing/>
              <w:jc w:val="both"/>
              <w:rPr>
                <w:b/>
                <w:sz w:val="24"/>
                <w:szCs w:val="24"/>
              </w:rPr>
            </w:pPr>
            <w:r w:rsidRPr="000A06D8">
              <w:rPr>
                <w:b/>
                <w:sz w:val="24"/>
                <w:szCs w:val="24"/>
              </w:rPr>
              <w:t>4.3. Резул</w:t>
            </w:r>
            <w:r w:rsidR="000A06D8" w:rsidRPr="000A06D8">
              <w:rPr>
                <w:b/>
                <w:sz w:val="24"/>
                <w:szCs w:val="24"/>
              </w:rPr>
              <w:t xml:space="preserve">ьтаты рассмотрения гражданских </w:t>
            </w:r>
            <w:r w:rsidRPr="000A06D8">
              <w:rPr>
                <w:b/>
                <w:sz w:val="24"/>
                <w:szCs w:val="24"/>
              </w:rPr>
              <w:t>дел районн</w:t>
            </w:r>
            <w:r w:rsidRPr="000A06D8">
              <w:rPr>
                <w:b/>
                <w:sz w:val="24"/>
                <w:szCs w:val="24"/>
              </w:rPr>
              <w:t>ы</w:t>
            </w:r>
            <w:r w:rsidRPr="000A06D8">
              <w:rPr>
                <w:b/>
                <w:sz w:val="24"/>
                <w:szCs w:val="24"/>
              </w:rPr>
              <w:t>ми (городскими) судами Республики Татарстан</w:t>
            </w:r>
          </w:p>
          <w:p w:rsidR="004C6052" w:rsidRPr="000A06D8" w:rsidRDefault="004C6052" w:rsidP="008619A6">
            <w:pPr>
              <w:pStyle w:val="a3"/>
              <w:ind w:left="1283" w:hanging="1283"/>
              <w:contextualSpacing/>
              <w:jc w:val="both"/>
              <w:rPr>
                <w:b/>
                <w:sz w:val="24"/>
                <w:szCs w:val="24"/>
              </w:rPr>
            </w:pPr>
          </w:p>
        </w:tc>
        <w:tc>
          <w:tcPr>
            <w:tcW w:w="678" w:type="dxa"/>
          </w:tcPr>
          <w:p w:rsidR="004C6052" w:rsidRPr="000A06D8" w:rsidRDefault="000A06D8" w:rsidP="008619A6">
            <w:pPr>
              <w:contextualSpacing/>
              <w:jc w:val="right"/>
              <w:rPr>
                <w:b/>
              </w:rPr>
            </w:pPr>
            <w:r w:rsidRPr="000A06D8">
              <w:rPr>
                <w:b/>
              </w:rPr>
              <w:t>75</w:t>
            </w:r>
          </w:p>
        </w:tc>
      </w:tr>
      <w:tr w:rsidR="000A06D8" w:rsidRPr="006E5A76" w:rsidTr="007C50D0">
        <w:trPr>
          <w:trHeight w:val="410"/>
        </w:trPr>
        <w:tc>
          <w:tcPr>
            <w:tcW w:w="9360" w:type="dxa"/>
          </w:tcPr>
          <w:p w:rsidR="000A06D8" w:rsidRPr="000A06D8" w:rsidRDefault="000A06D8" w:rsidP="000A06D8">
            <w:pPr>
              <w:pStyle w:val="a3"/>
              <w:contextualSpacing/>
              <w:jc w:val="both"/>
              <w:rPr>
                <w:b/>
                <w:sz w:val="24"/>
                <w:szCs w:val="24"/>
              </w:rPr>
            </w:pPr>
            <w:r w:rsidRPr="000A06D8">
              <w:rPr>
                <w:b/>
                <w:sz w:val="24"/>
                <w:szCs w:val="24"/>
              </w:rPr>
              <w:t>4.</w:t>
            </w:r>
            <w:r w:rsidRPr="000A06D8">
              <w:rPr>
                <w:b/>
                <w:sz w:val="24"/>
                <w:szCs w:val="24"/>
              </w:rPr>
              <w:t>4</w:t>
            </w:r>
            <w:r w:rsidRPr="000A06D8">
              <w:rPr>
                <w:b/>
                <w:sz w:val="24"/>
                <w:szCs w:val="24"/>
              </w:rPr>
              <w:t xml:space="preserve">. Результаты рассмотрения </w:t>
            </w:r>
            <w:r w:rsidRPr="000A06D8">
              <w:rPr>
                <w:b/>
                <w:sz w:val="24"/>
                <w:szCs w:val="24"/>
              </w:rPr>
              <w:t>административных</w:t>
            </w:r>
            <w:r w:rsidRPr="000A06D8">
              <w:rPr>
                <w:b/>
                <w:sz w:val="24"/>
                <w:szCs w:val="24"/>
              </w:rPr>
              <w:t xml:space="preserve"> дел районн</w:t>
            </w:r>
            <w:r w:rsidRPr="000A06D8">
              <w:rPr>
                <w:b/>
                <w:sz w:val="24"/>
                <w:szCs w:val="24"/>
              </w:rPr>
              <w:t>ы</w:t>
            </w:r>
            <w:r w:rsidRPr="000A06D8">
              <w:rPr>
                <w:b/>
                <w:sz w:val="24"/>
                <w:szCs w:val="24"/>
              </w:rPr>
              <w:t>ми (городскими) судами Республики Татарстан</w:t>
            </w:r>
          </w:p>
        </w:tc>
        <w:tc>
          <w:tcPr>
            <w:tcW w:w="678" w:type="dxa"/>
          </w:tcPr>
          <w:p w:rsidR="000A06D8" w:rsidRPr="000A06D8" w:rsidRDefault="000A06D8" w:rsidP="008619A6">
            <w:pPr>
              <w:contextualSpacing/>
              <w:jc w:val="right"/>
              <w:rPr>
                <w:b/>
              </w:rPr>
            </w:pPr>
            <w:r w:rsidRPr="000A06D8">
              <w:rPr>
                <w:b/>
              </w:rPr>
              <w:t>78</w:t>
            </w:r>
          </w:p>
        </w:tc>
      </w:tr>
      <w:tr w:rsidR="000A06D8" w:rsidRPr="006E5A76" w:rsidTr="007C50D0">
        <w:trPr>
          <w:trHeight w:val="410"/>
        </w:trPr>
        <w:tc>
          <w:tcPr>
            <w:tcW w:w="9360" w:type="dxa"/>
          </w:tcPr>
          <w:p w:rsidR="000A06D8" w:rsidRPr="000A06D8" w:rsidRDefault="000A06D8" w:rsidP="008619A6">
            <w:pPr>
              <w:pStyle w:val="a3"/>
              <w:contextualSpacing/>
              <w:jc w:val="both"/>
              <w:rPr>
                <w:b/>
                <w:sz w:val="24"/>
                <w:szCs w:val="24"/>
              </w:rPr>
            </w:pPr>
          </w:p>
        </w:tc>
        <w:tc>
          <w:tcPr>
            <w:tcW w:w="678" w:type="dxa"/>
          </w:tcPr>
          <w:p w:rsidR="000A06D8" w:rsidRPr="000A06D8" w:rsidRDefault="000A06D8" w:rsidP="008619A6">
            <w:pPr>
              <w:contextualSpacing/>
              <w:jc w:val="right"/>
              <w:rPr>
                <w:b/>
              </w:rPr>
            </w:pPr>
          </w:p>
        </w:tc>
      </w:tr>
      <w:tr w:rsidR="004C6052" w:rsidRPr="006E5A76" w:rsidTr="007C50D0">
        <w:trPr>
          <w:trHeight w:val="410"/>
        </w:trPr>
        <w:tc>
          <w:tcPr>
            <w:tcW w:w="9360" w:type="dxa"/>
          </w:tcPr>
          <w:p w:rsidR="004C6052" w:rsidRPr="000A06D8" w:rsidRDefault="004C6052" w:rsidP="008619A6">
            <w:pPr>
              <w:pStyle w:val="a3"/>
              <w:contextualSpacing/>
              <w:jc w:val="both"/>
              <w:rPr>
                <w:b/>
                <w:sz w:val="24"/>
                <w:szCs w:val="24"/>
              </w:rPr>
            </w:pPr>
            <w:r w:rsidRPr="000A06D8">
              <w:rPr>
                <w:b/>
                <w:sz w:val="24"/>
                <w:szCs w:val="24"/>
              </w:rPr>
              <w:t>4.</w:t>
            </w:r>
            <w:r w:rsidR="000A06D8" w:rsidRPr="000A06D8">
              <w:rPr>
                <w:b/>
                <w:sz w:val="24"/>
                <w:szCs w:val="24"/>
              </w:rPr>
              <w:t>5</w:t>
            </w:r>
            <w:r w:rsidRPr="000A06D8">
              <w:rPr>
                <w:b/>
                <w:sz w:val="24"/>
                <w:szCs w:val="24"/>
              </w:rPr>
              <w:t>. Результаты рассмотрения дел об административных правонарушениях районными (г</w:t>
            </w:r>
            <w:r w:rsidRPr="000A06D8">
              <w:rPr>
                <w:b/>
                <w:sz w:val="24"/>
                <w:szCs w:val="24"/>
              </w:rPr>
              <w:t>о</w:t>
            </w:r>
            <w:r w:rsidRPr="000A06D8">
              <w:rPr>
                <w:b/>
                <w:sz w:val="24"/>
                <w:szCs w:val="24"/>
              </w:rPr>
              <w:t>родскими) судами Республики Татарстан</w:t>
            </w:r>
          </w:p>
          <w:p w:rsidR="004C6052" w:rsidRPr="000A06D8" w:rsidRDefault="004C6052" w:rsidP="008619A6">
            <w:pPr>
              <w:pStyle w:val="a3"/>
              <w:ind w:left="1283" w:hanging="1283"/>
              <w:contextualSpacing/>
              <w:jc w:val="both"/>
              <w:rPr>
                <w:b/>
                <w:sz w:val="24"/>
                <w:szCs w:val="24"/>
              </w:rPr>
            </w:pPr>
          </w:p>
        </w:tc>
        <w:tc>
          <w:tcPr>
            <w:tcW w:w="678" w:type="dxa"/>
          </w:tcPr>
          <w:p w:rsidR="004C6052" w:rsidRPr="000A06D8" w:rsidRDefault="000A06D8" w:rsidP="008619A6">
            <w:pPr>
              <w:contextualSpacing/>
              <w:jc w:val="right"/>
              <w:rPr>
                <w:b/>
              </w:rPr>
            </w:pPr>
            <w:r w:rsidRPr="000A06D8">
              <w:rPr>
                <w:b/>
              </w:rPr>
              <w:t>81</w:t>
            </w:r>
          </w:p>
        </w:tc>
      </w:tr>
      <w:tr w:rsidR="004C6052" w:rsidRPr="006E5A76" w:rsidTr="007C50D0">
        <w:trPr>
          <w:trHeight w:val="410"/>
        </w:trPr>
        <w:tc>
          <w:tcPr>
            <w:tcW w:w="9360" w:type="dxa"/>
            <w:shd w:val="clear" w:color="auto" w:fill="auto"/>
          </w:tcPr>
          <w:p w:rsidR="004C6052" w:rsidRPr="000A06D8" w:rsidRDefault="004C6052" w:rsidP="008619A6">
            <w:pPr>
              <w:pStyle w:val="a3"/>
              <w:contextualSpacing/>
              <w:jc w:val="both"/>
              <w:rPr>
                <w:b/>
                <w:sz w:val="24"/>
                <w:szCs w:val="24"/>
              </w:rPr>
            </w:pPr>
            <w:r w:rsidRPr="000A06D8">
              <w:rPr>
                <w:b/>
                <w:sz w:val="24"/>
                <w:szCs w:val="24"/>
              </w:rPr>
              <w:t>4.</w:t>
            </w:r>
            <w:r w:rsidR="000A06D8" w:rsidRPr="000A06D8">
              <w:rPr>
                <w:b/>
                <w:sz w:val="24"/>
                <w:szCs w:val="24"/>
              </w:rPr>
              <w:t>6</w:t>
            </w:r>
            <w:r w:rsidRPr="000A06D8">
              <w:rPr>
                <w:b/>
                <w:sz w:val="24"/>
                <w:szCs w:val="24"/>
              </w:rPr>
              <w:t>.  Общие сведения о работе мировых судей Республики Татарстан</w:t>
            </w:r>
          </w:p>
          <w:p w:rsidR="004C6052" w:rsidRPr="000A06D8" w:rsidRDefault="004C6052" w:rsidP="008619A6">
            <w:pPr>
              <w:pStyle w:val="a3"/>
              <w:ind w:left="780" w:firstLine="432"/>
              <w:contextualSpacing/>
              <w:jc w:val="both"/>
              <w:rPr>
                <w:b/>
                <w:sz w:val="24"/>
                <w:szCs w:val="24"/>
              </w:rPr>
            </w:pPr>
          </w:p>
        </w:tc>
        <w:tc>
          <w:tcPr>
            <w:tcW w:w="678" w:type="dxa"/>
            <w:shd w:val="clear" w:color="auto" w:fill="auto"/>
          </w:tcPr>
          <w:p w:rsidR="004C6052" w:rsidRPr="000A06D8" w:rsidRDefault="000A06D8" w:rsidP="008619A6">
            <w:pPr>
              <w:contextualSpacing/>
              <w:jc w:val="right"/>
              <w:rPr>
                <w:b/>
              </w:rPr>
            </w:pPr>
            <w:r w:rsidRPr="000A06D8">
              <w:rPr>
                <w:b/>
              </w:rPr>
              <w:t>84</w:t>
            </w:r>
          </w:p>
        </w:tc>
      </w:tr>
      <w:tr w:rsidR="004C6052" w:rsidRPr="000A06D8" w:rsidTr="007C50D0">
        <w:trPr>
          <w:trHeight w:val="410"/>
        </w:trPr>
        <w:tc>
          <w:tcPr>
            <w:tcW w:w="9360" w:type="dxa"/>
            <w:shd w:val="clear" w:color="auto" w:fill="auto"/>
          </w:tcPr>
          <w:p w:rsidR="004C6052" w:rsidRPr="000A06D8" w:rsidRDefault="004C6052" w:rsidP="008619A6">
            <w:pPr>
              <w:pStyle w:val="a3"/>
              <w:contextualSpacing/>
              <w:jc w:val="both"/>
              <w:rPr>
                <w:b/>
                <w:sz w:val="24"/>
                <w:szCs w:val="24"/>
              </w:rPr>
            </w:pPr>
            <w:r w:rsidRPr="000A06D8">
              <w:rPr>
                <w:b/>
                <w:sz w:val="24"/>
                <w:szCs w:val="24"/>
              </w:rPr>
              <w:t>4.</w:t>
            </w:r>
            <w:r w:rsidR="000A06D8" w:rsidRPr="000A06D8">
              <w:rPr>
                <w:b/>
                <w:sz w:val="24"/>
                <w:szCs w:val="24"/>
              </w:rPr>
              <w:t>7</w:t>
            </w:r>
            <w:r w:rsidRPr="000A06D8">
              <w:rPr>
                <w:b/>
                <w:sz w:val="24"/>
                <w:szCs w:val="24"/>
              </w:rPr>
              <w:t>. Результаты рассмотрения уголовных дел мировыми судьями</w:t>
            </w:r>
          </w:p>
          <w:p w:rsidR="004C6052" w:rsidRPr="000A06D8" w:rsidRDefault="004C6052" w:rsidP="008619A6">
            <w:pPr>
              <w:pStyle w:val="a3"/>
              <w:contextualSpacing/>
              <w:jc w:val="both"/>
              <w:rPr>
                <w:b/>
                <w:sz w:val="24"/>
                <w:szCs w:val="24"/>
              </w:rPr>
            </w:pPr>
            <w:r w:rsidRPr="000A06D8">
              <w:rPr>
                <w:b/>
                <w:sz w:val="24"/>
                <w:szCs w:val="24"/>
              </w:rPr>
              <w:t>Республ</w:t>
            </w:r>
            <w:r w:rsidRPr="000A06D8">
              <w:rPr>
                <w:b/>
                <w:sz w:val="24"/>
                <w:szCs w:val="24"/>
              </w:rPr>
              <w:t>и</w:t>
            </w:r>
            <w:r w:rsidRPr="000A06D8">
              <w:rPr>
                <w:b/>
                <w:sz w:val="24"/>
                <w:szCs w:val="24"/>
              </w:rPr>
              <w:t>ки Татарстан</w:t>
            </w:r>
          </w:p>
          <w:p w:rsidR="004C6052" w:rsidRPr="000A06D8" w:rsidRDefault="004C6052" w:rsidP="008619A6">
            <w:pPr>
              <w:pStyle w:val="a3"/>
              <w:ind w:left="780" w:firstLine="432"/>
              <w:contextualSpacing/>
              <w:jc w:val="both"/>
              <w:rPr>
                <w:b/>
                <w:sz w:val="24"/>
                <w:szCs w:val="24"/>
              </w:rPr>
            </w:pPr>
          </w:p>
        </w:tc>
        <w:tc>
          <w:tcPr>
            <w:tcW w:w="678" w:type="dxa"/>
            <w:shd w:val="clear" w:color="auto" w:fill="auto"/>
          </w:tcPr>
          <w:p w:rsidR="004C6052" w:rsidRPr="000A06D8" w:rsidRDefault="000A06D8" w:rsidP="008619A6">
            <w:pPr>
              <w:contextualSpacing/>
              <w:jc w:val="right"/>
              <w:rPr>
                <w:b/>
              </w:rPr>
            </w:pPr>
            <w:r w:rsidRPr="000A06D8">
              <w:rPr>
                <w:b/>
              </w:rPr>
              <w:t>93</w:t>
            </w:r>
          </w:p>
        </w:tc>
      </w:tr>
      <w:tr w:rsidR="004C6052" w:rsidRPr="00F46C7B" w:rsidTr="007C50D0">
        <w:trPr>
          <w:trHeight w:val="410"/>
        </w:trPr>
        <w:tc>
          <w:tcPr>
            <w:tcW w:w="9360" w:type="dxa"/>
          </w:tcPr>
          <w:p w:rsidR="004C6052" w:rsidRPr="00F46C7B" w:rsidRDefault="004C6052" w:rsidP="008619A6">
            <w:pPr>
              <w:pStyle w:val="a3"/>
              <w:contextualSpacing/>
              <w:jc w:val="both"/>
              <w:rPr>
                <w:b/>
                <w:sz w:val="24"/>
                <w:szCs w:val="24"/>
              </w:rPr>
            </w:pPr>
            <w:r w:rsidRPr="00F46C7B">
              <w:rPr>
                <w:b/>
                <w:sz w:val="24"/>
                <w:szCs w:val="24"/>
              </w:rPr>
              <w:t>4.</w:t>
            </w:r>
            <w:r w:rsidR="000A06D8" w:rsidRPr="00F46C7B">
              <w:rPr>
                <w:b/>
                <w:sz w:val="24"/>
                <w:szCs w:val="24"/>
              </w:rPr>
              <w:t>8</w:t>
            </w:r>
            <w:r w:rsidRPr="00F46C7B">
              <w:rPr>
                <w:b/>
                <w:sz w:val="24"/>
                <w:szCs w:val="24"/>
              </w:rPr>
              <w:t>. Результаты рассмотрения гражданских дел мировыми судьями Республики Татарстан</w:t>
            </w:r>
          </w:p>
          <w:p w:rsidR="004C6052" w:rsidRPr="00F46C7B" w:rsidRDefault="004C6052" w:rsidP="008619A6">
            <w:pPr>
              <w:ind w:firstLine="432"/>
              <w:contextualSpacing/>
              <w:jc w:val="both"/>
              <w:rPr>
                <w:b/>
                <w:sz w:val="24"/>
                <w:szCs w:val="24"/>
              </w:rPr>
            </w:pPr>
          </w:p>
        </w:tc>
        <w:tc>
          <w:tcPr>
            <w:tcW w:w="678" w:type="dxa"/>
          </w:tcPr>
          <w:p w:rsidR="004C6052" w:rsidRPr="00F46C7B" w:rsidRDefault="00F46C7B" w:rsidP="008619A6">
            <w:pPr>
              <w:contextualSpacing/>
              <w:jc w:val="right"/>
              <w:rPr>
                <w:b/>
              </w:rPr>
            </w:pPr>
            <w:r w:rsidRPr="00F46C7B">
              <w:rPr>
                <w:b/>
              </w:rPr>
              <w:t>96</w:t>
            </w:r>
          </w:p>
        </w:tc>
      </w:tr>
      <w:tr w:rsidR="00F46C7B" w:rsidRPr="00F46C7B" w:rsidTr="009465FD">
        <w:trPr>
          <w:trHeight w:val="566"/>
        </w:trPr>
        <w:tc>
          <w:tcPr>
            <w:tcW w:w="9360" w:type="dxa"/>
          </w:tcPr>
          <w:p w:rsidR="000A06D8" w:rsidRPr="00F46C7B" w:rsidRDefault="000A06D8" w:rsidP="009465FD">
            <w:pPr>
              <w:pStyle w:val="a3"/>
              <w:contextualSpacing/>
              <w:jc w:val="both"/>
              <w:rPr>
                <w:b/>
                <w:sz w:val="24"/>
                <w:szCs w:val="24"/>
              </w:rPr>
            </w:pPr>
            <w:r w:rsidRPr="00F46C7B">
              <w:rPr>
                <w:b/>
                <w:sz w:val="24"/>
                <w:szCs w:val="24"/>
              </w:rPr>
              <w:t>4.9. Результаты рассмотрения административных дел</w:t>
            </w:r>
            <w:r w:rsidRPr="00F46C7B">
              <w:rPr>
                <w:b/>
                <w:sz w:val="24"/>
                <w:szCs w:val="24"/>
              </w:rPr>
              <w:t xml:space="preserve"> </w:t>
            </w:r>
            <w:r w:rsidRPr="00F46C7B">
              <w:rPr>
                <w:b/>
                <w:sz w:val="24"/>
                <w:szCs w:val="24"/>
              </w:rPr>
              <w:t>мир</w:t>
            </w:r>
            <w:r w:rsidRPr="00F46C7B">
              <w:rPr>
                <w:b/>
                <w:sz w:val="24"/>
                <w:szCs w:val="24"/>
              </w:rPr>
              <w:t>о</w:t>
            </w:r>
            <w:r w:rsidRPr="00F46C7B">
              <w:rPr>
                <w:b/>
                <w:sz w:val="24"/>
                <w:szCs w:val="24"/>
              </w:rPr>
              <w:t>выми судьями Республики Татарстан</w:t>
            </w:r>
          </w:p>
          <w:p w:rsidR="000A06D8" w:rsidRPr="00F46C7B" w:rsidRDefault="000A06D8" w:rsidP="009465FD">
            <w:pPr>
              <w:pStyle w:val="a3"/>
              <w:ind w:left="1283" w:hanging="1283"/>
              <w:contextualSpacing/>
              <w:jc w:val="both"/>
              <w:rPr>
                <w:b/>
                <w:sz w:val="24"/>
                <w:szCs w:val="24"/>
              </w:rPr>
            </w:pPr>
          </w:p>
        </w:tc>
        <w:tc>
          <w:tcPr>
            <w:tcW w:w="678" w:type="dxa"/>
          </w:tcPr>
          <w:p w:rsidR="000A06D8" w:rsidRPr="00F46C7B" w:rsidRDefault="00F46C7B" w:rsidP="009465FD">
            <w:pPr>
              <w:contextualSpacing/>
              <w:jc w:val="right"/>
              <w:rPr>
                <w:b/>
              </w:rPr>
            </w:pPr>
            <w:r w:rsidRPr="00F46C7B">
              <w:rPr>
                <w:b/>
              </w:rPr>
              <w:t>99</w:t>
            </w:r>
          </w:p>
        </w:tc>
      </w:tr>
      <w:tr w:rsidR="004C6052" w:rsidRPr="00F46C7B" w:rsidTr="007C50D0">
        <w:trPr>
          <w:trHeight w:val="566"/>
        </w:trPr>
        <w:tc>
          <w:tcPr>
            <w:tcW w:w="9360" w:type="dxa"/>
          </w:tcPr>
          <w:p w:rsidR="004C6052" w:rsidRPr="00F46C7B" w:rsidRDefault="000A06D8" w:rsidP="008619A6">
            <w:pPr>
              <w:pStyle w:val="a3"/>
              <w:contextualSpacing/>
              <w:jc w:val="both"/>
              <w:rPr>
                <w:b/>
                <w:sz w:val="24"/>
                <w:szCs w:val="24"/>
              </w:rPr>
            </w:pPr>
            <w:r w:rsidRPr="00F46C7B">
              <w:rPr>
                <w:b/>
                <w:sz w:val="24"/>
                <w:szCs w:val="24"/>
              </w:rPr>
              <w:t>5.0</w:t>
            </w:r>
            <w:r w:rsidR="004C6052" w:rsidRPr="00F46C7B">
              <w:rPr>
                <w:b/>
                <w:sz w:val="24"/>
                <w:szCs w:val="24"/>
              </w:rPr>
              <w:t>. Результаты рассмотрения дел об административных правонарушениях мир</w:t>
            </w:r>
            <w:r w:rsidR="004C6052" w:rsidRPr="00F46C7B">
              <w:rPr>
                <w:b/>
                <w:sz w:val="24"/>
                <w:szCs w:val="24"/>
              </w:rPr>
              <w:t>о</w:t>
            </w:r>
            <w:r w:rsidR="004C6052" w:rsidRPr="00F46C7B">
              <w:rPr>
                <w:b/>
                <w:sz w:val="24"/>
                <w:szCs w:val="24"/>
              </w:rPr>
              <w:t>выми судьями Республики Татарстан</w:t>
            </w:r>
          </w:p>
          <w:p w:rsidR="004C6052" w:rsidRPr="00F46C7B" w:rsidRDefault="004C6052" w:rsidP="008619A6">
            <w:pPr>
              <w:pStyle w:val="a3"/>
              <w:ind w:left="1283" w:hanging="1283"/>
              <w:contextualSpacing/>
              <w:jc w:val="both"/>
              <w:rPr>
                <w:b/>
                <w:sz w:val="24"/>
                <w:szCs w:val="24"/>
              </w:rPr>
            </w:pPr>
          </w:p>
        </w:tc>
        <w:tc>
          <w:tcPr>
            <w:tcW w:w="678" w:type="dxa"/>
          </w:tcPr>
          <w:p w:rsidR="004C6052" w:rsidRPr="00F46C7B" w:rsidRDefault="00F46C7B" w:rsidP="008619A6">
            <w:pPr>
              <w:contextualSpacing/>
              <w:jc w:val="right"/>
              <w:rPr>
                <w:b/>
              </w:rPr>
            </w:pPr>
            <w:r w:rsidRPr="00F46C7B">
              <w:rPr>
                <w:b/>
              </w:rPr>
              <w:t>102</w:t>
            </w:r>
          </w:p>
        </w:tc>
      </w:tr>
      <w:tr w:rsidR="004C6052" w:rsidRPr="00F46C7B" w:rsidTr="007C50D0">
        <w:trPr>
          <w:trHeight w:val="566"/>
        </w:trPr>
        <w:tc>
          <w:tcPr>
            <w:tcW w:w="9360" w:type="dxa"/>
          </w:tcPr>
          <w:p w:rsidR="004C6052" w:rsidRPr="00F46C7B" w:rsidRDefault="000A06D8" w:rsidP="008619A6">
            <w:pPr>
              <w:pStyle w:val="a3"/>
              <w:contextualSpacing/>
              <w:jc w:val="both"/>
              <w:rPr>
                <w:b/>
                <w:sz w:val="24"/>
                <w:szCs w:val="24"/>
              </w:rPr>
            </w:pPr>
            <w:r w:rsidRPr="00F46C7B">
              <w:rPr>
                <w:b/>
                <w:sz w:val="24"/>
                <w:szCs w:val="24"/>
              </w:rPr>
              <w:t>5.1.</w:t>
            </w:r>
            <w:r w:rsidR="004C6052" w:rsidRPr="00F46C7B">
              <w:rPr>
                <w:b/>
                <w:sz w:val="24"/>
                <w:szCs w:val="24"/>
              </w:rPr>
              <w:t xml:space="preserve"> Основные показатели деятельности федеральных судов и мировых судей в субъектах федерации, входящих в Приволжский федеральный округ</w:t>
            </w:r>
          </w:p>
          <w:p w:rsidR="004C6052" w:rsidRPr="00F46C7B" w:rsidRDefault="004C6052" w:rsidP="008619A6">
            <w:pPr>
              <w:ind w:firstLine="432"/>
              <w:contextualSpacing/>
              <w:jc w:val="both"/>
              <w:rPr>
                <w:b/>
                <w:sz w:val="24"/>
                <w:szCs w:val="24"/>
              </w:rPr>
            </w:pPr>
          </w:p>
        </w:tc>
        <w:tc>
          <w:tcPr>
            <w:tcW w:w="678" w:type="dxa"/>
          </w:tcPr>
          <w:p w:rsidR="004C6052" w:rsidRPr="00F46C7B" w:rsidRDefault="00F46C7B" w:rsidP="008619A6">
            <w:pPr>
              <w:contextualSpacing/>
              <w:jc w:val="right"/>
              <w:rPr>
                <w:b/>
              </w:rPr>
            </w:pPr>
            <w:r w:rsidRPr="00F46C7B">
              <w:rPr>
                <w:b/>
              </w:rPr>
              <w:t>105</w:t>
            </w:r>
          </w:p>
        </w:tc>
      </w:tr>
    </w:tbl>
    <w:p w:rsidR="004C6052" w:rsidRDefault="004C6052" w:rsidP="008619A6">
      <w:pPr>
        <w:pStyle w:val="a3"/>
        <w:ind w:left="360"/>
        <w:contextualSpacing/>
        <w:jc w:val="both"/>
        <w:rPr>
          <w:b/>
          <w:szCs w:val="28"/>
        </w:rPr>
      </w:pPr>
    </w:p>
    <w:p w:rsidR="004C6052" w:rsidRPr="00CD4AE3" w:rsidRDefault="004C6052" w:rsidP="008619A6">
      <w:pPr>
        <w:pStyle w:val="a3"/>
        <w:contextualSpacing/>
        <w:jc w:val="left"/>
        <w:rPr>
          <w:b/>
          <w:szCs w:val="28"/>
        </w:rPr>
      </w:pPr>
      <w:r>
        <w:rPr>
          <w:b/>
          <w:szCs w:val="28"/>
        </w:rPr>
        <w:lastRenderedPageBreak/>
        <w:t xml:space="preserve">1. </w:t>
      </w:r>
      <w:r w:rsidRPr="00CD4AE3">
        <w:rPr>
          <w:b/>
          <w:szCs w:val="28"/>
        </w:rPr>
        <w:t xml:space="preserve">Анализ деятельности </w:t>
      </w:r>
      <w:r>
        <w:rPr>
          <w:b/>
          <w:szCs w:val="28"/>
        </w:rPr>
        <w:t>Верховного Суда</w:t>
      </w:r>
      <w:r w:rsidRPr="00CD4AE3">
        <w:rPr>
          <w:b/>
          <w:szCs w:val="28"/>
        </w:rPr>
        <w:t xml:space="preserve"> Республики Т</w:t>
      </w:r>
      <w:r w:rsidRPr="00CD4AE3">
        <w:rPr>
          <w:b/>
          <w:szCs w:val="28"/>
        </w:rPr>
        <w:t>а</w:t>
      </w:r>
      <w:r w:rsidRPr="00CD4AE3">
        <w:rPr>
          <w:b/>
          <w:szCs w:val="28"/>
        </w:rPr>
        <w:t>тарстан</w:t>
      </w:r>
    </w:p>
    <w:p w:rsidR="004C6052" w:rsidRDefault="004C6052" w:rsidP="008619A6">
      <w:pPr>
        <w:ind w:firstLine="900"/>
        <w:contextualSpacing/>
        <w:jc w:val="both"/>
        <w:rPr>
          <w:sz w:val="28"/>
          <w:szCs w:val="28"/>
          <w:u w:val="single"/>
        </w:rPr>
      </w:pPr>
    </w:p>
    <w:p w:rsidR="004C6052" w:rsidRPr="0029099F" w:rsidRDefault="004C6052" w:rsidP="008619A6">
      <w:pPr>
        <w:ind w:firstLine="900"/>
        <w:contextualSpacing/>
        <w:jc w:val="both"/>
        <w:rPr>
          <w:sz w:val="28"/>
          <w:szCs w:val="28"/>
        </w:rPr>
      </w:pPr>
      <w:r w:rsidRPr="00212241">
        <w:rPr>
          <w:b/>
          <w:sz w:val="28"/>
          <w:szCs w:val="28"/>
          <w:u w:val="single"/>
        </w:rPr>
        <w:t>Нагрузка</w:t>
      </w:r>
      <w:r w:rsidR="00212241" w:rsidRPr="00212241">
        <w:rPr>
          <w:b/>
          <w:sz w:val="28"/>
          <w:szCs w:val="28"/>
          <w:u w:val="single"/>
        </w:rPr>
        <w:t>.</w:t>
      </w:r>
      <w:r w:rsidR="00212241">
        <w:rPr>
          <w:sz w:val="28"/>
          <w:szCs w:val="28"/>
          <w:u w:val="single"/>
        </w:rPr>
        <w:t xml:space="preserve"> </w:t>
      </w:r>
      <w:r w:rsidRPr="00CD4AE3">
        <w:rPr>
          <w:sz w:val="28"/>
          <w:szCs w:val="28"/>
        </w:rPr>
        <w:t>За 12 месяцев 201</w:t>
      </w:r>
      <w:r>
        <w:rPr>
          <w:sz w:val="28"/>
          <w:szCs w:val="28"/>
        </w:rPr>
        <w:t>7</w:t>
      </w:r>
      <w:r w:rsidRPr="00CD4AE3">
        <w:rPr>
          <w:sz w:val="28"/>
          <w:szCs w:val="28"/>
        </w:rPr>
        <w:t xml:space="preserve"> года </w:t>
      </w:r>
      <w:r>
        <w:rPr>
          <w:sz w:val="28"/>
          <w:szCs w:val="28"/>
        </w:rPr>
        <w:t>Верховным Судом</w:t>
      </w:r>
      <w:r w:rsidRPr="00CD4AE3">
        <w:rPr>
          <w:sz w:val="28"/>
          <w:szCs w:val="28"/>
        </w:rPr>
        <w:t xml:space="preserve"> Республики Татарстан </w:t>
      </w:r>
      <w:r>
        <w:rPr>
          <w:sz w:val="28"/>
          <w:szCs w:val="28"/>
        </w:rPr>
        <w:t>в первой инстанции окончено производством</w:t>
      </w:r>
      <w:r w:rsidRPr="00D65928">
        <w:rPr>
          <w:sz w:val="28"/>
          <w:szCs w:val="28"/>
        </w:rPr>
        <w:t xml:space="preserve"> </w:t>
      </w:r>
      <w:r>
        <w:rPr>
          <w:sz w:val="28"/>
          <w:szCs w:val="28"/>
        </w:rPr>
        <w:t>34</w:t>
      </w:r>
      <w:r w:rsidRPr="00D65928">
        <w:rPr>
          <w:sz w:val="28"/>
          <w:szCs w:val="28"/>
        </w:rPr>
        <w:t xml:space="preserve"> уголовных, </w:t>
      </w:r>
      <w:r>
        <w:rPr>
          <w:sz w:val="28"/>
          <w:szCs w:val="28"/>
        </w:rPr>
        <w:t>4 гражда</w:t>
      </w:r>
      <w:r>
        <w:rPr>
          <w:sz w:val="28"/>
          <w:szCs w:val="28"/>
        </w:rPr>
        <w:t>н</w:t>
      </w:r>
      <w:r>
        <w:rPr>
          <w:sz w:val="28"/>
          <w:szCs w:val="28"/>
        </w:rPr>
        <w:t>ских</w:t>
      </w:r>
      <w:r w:rsidRPr="00D65928">
        <w:rPr>
          <w:sz w:val="28"/>
          <w:szCs w:val="28"/>
        </w:rPr>
        <w:t xml:space="preserve"> и </w:t>
      </w:r>
      <w:r>
        <w:rPr>
          <w:sz w:val="28"/>
          <w:szCs w:val="28"/>
        </w:rPr>
        <w:t>562 административных дела</w:t>
      </w:r>
      <w:r w:rsidRPr="00D65928">
        <w:rPr>
          <w:sz w:val="28"/>
          <w:szCs w:val="28"/>
        </w:rPr>
        <w:t xml:space="preserve">. </w:t>
      </w:r>
      <w:r w:rsidRPr="0003058D">
        <w:rPr>
          <w:sz w:val="28"/>
          <w:szCs w:val="28"/>
        </w:rPr>
        <w:t>По сравнению с прошлым годом, наблюдается увел</w:t>
      </w:r>
      <w:r w:rsidRPr="0003058D">
        <w:rPr>
          <w:sz w:val="28"/>
          <w:szCs w:val="28"/>
        </w:rPr>
        <w:t>и</w:t>
      </w:r>
      <w:r w:rsidRPr="0003058D">
        <w:rPr>
          <w:sz w:val="28"/>
          <w:szCs w:val="28"/>
        </w:rPr>
        <w:t xml:space="preserve">чение количества </w:t>
      </w:r>
      <w:r>
        <w:rPr>
          <w:sz w:val="28"/>
          <w:szCs w:val="28"/>
        </w:rPr>
        <w:t>оконченных производством административных</w:t>
      </w:r>
      <w:r w:rsidRPr="0003058D">
        <w:rPr>
          <w:sz w:val="28"/>
          <w:szCs w:val="28"/>
        </w:rPr>
        <w:t xml:space="preserve"> дел </w:t>
      </w:r>
      <w:r>
        <w:rPr>
          <w:sz w:val="28"/>
          <w:szCs w:val="28"/>
        </w:rPr>
        <w:t xml:space="preserve">почти </w:t>
      </w:r>
      <w:r w:rsidRPr="0003058D">
        <w:rPr>
          <w:sz w:val="28"/>
          <w:szCs w:val="28"/>
        </w:rPr>
        <w:t xml:space="preserve">в 2 раза. Количество рассмотренных гражданских и уголовных дел, напротив, уменьшилось, на </w:t>
      </w:r>
      <w:r>
        <w:rPr>
          <w:sz w:val="28"/>
          <w:szCs w:val="28"/>
        </w:rPr>
        <w:t>33</w:t>
      </w:r>
      <w:r w:rsidRPr="0003058D">
        <w:rPr>
          <w:sz w:val="28"/>
          <w:szCs w:val="28"/>
        </w:rPr>
        <w:t xml:space="preserve"> и 3</w:t>
      </w:r>
      <w:r>
        <w:rPr>
          <w:sz w:val="28"/>
          <w:szCs w:val="28"/>
        </w:rPr>
        <w:t>5</w:t>
      </w:r>
      <w:r w:rsidRPr="0003058D">
        <w:rPr>
          <w:sz w:val="28"/>
          <w:szCs w:val="28"/>
        </w:rPr>
        <w:t xml:space="preserve"> % соответственно.</w:t>
      </w:r>
      <w:r w:rsidRPr="0029099F">
        <w:rPr>
          <w:sz w:val="28"/>
          <w:szCs w:val="28"/>
        </w:rPr>
        <w:t xml:space="preserve"> </w:t>
      </w:r>
    </w:p>
    <w:p w:rsidR="004C6052" w:rsidRPr="0029099F" w:rsidRDefault="004C6052" w:rsidP="008619A6">
      <w:pPr>
        <w:ind w:firstLine="900"/>
        <w:contextualSpacing/>
        <w:jc w:val="center"/>
        <w:rPr>
          <w:sz w:val="24"/>
          <w:szCs w:val="24"/>
        </w:rPr>
      </w:pPr>
      <w:r w:rsidRPr="0029099F">
        <w:rPr>
          <w:sz w:val="24"/>
          <w:szCs w:val="24"/>
        </w:rPr>
        <w:t xml:space="preserve">                                                                                                             </w:t>
      </w:r>
      <w:r>
        <w:rPr>
          <w:sz w:val="24"/>
          <w:szCs w:val="24"/>
        </w:rPr>
        <w:t xml:space="preserve">         </w:t>
      </w:r>
      <w:r w:rsidRPr="0029099F">
        <w:rPr>
          <w:sz w:val="24"/>
          <w:szCs w:val="24"/>
        </w:rPr>
        <w:t xml:space="preserve">     Таблица 1</w:t>
      </w:r>
    </w:p>
    <w:tbl>
      <w:tblPr>
        <w:tblW w:w="9356" w:type="dxa"/>
        <w:tblInd w:w="250"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3544"/>
        <w:gridCol w:w="1276"/>
        <w:gridCol w:w="993"/>
        <w:gridCol w:w="1275"/>
        <w:gridCol w:w="1134"/>
        <w:gridCol w:w="1134"/>
      </w:tblGrid>
      <w:tr w:rsidR="004C6052" w:rsidRPr="00CD4AE3" w:rsidTr="007C50D0">
        <w:trPr>
          <w:trHeight w:val="390"/>
        </w:trPr>
        <w:tc>
          <w:tcPr>
            <w:tcW w:w="9356" w:type="dxa"/>
            <w:gridSpan w:val="6"/>
            <w:tcBorders>
              <w:top w:val="double" w:sz="4" w:space="0" w:color="auto"/>
              <w:bottom w:val="single" w:sz="4" w:space="0" w:color="auto"/>
            </w:tcBorders>
            <w:shd w:val="clear" w:color="auto" w:fill="auto"/>
          </w:tcPr>
          <w:p w:rsidR="004C6052" w:rsidRPr="00CD4AE3" w:rsidRDefault="004C6052" w:rsidP="008619A6">
            <w:pPr>
              <w:contextualSpacing/>
              <w:jc w:val="center"/>
              <w:rPr>
                <w:b/>
                <w:sz w:val="24"/>
                <w:szCs w:val="24"/>
              </w:rPr>
            </w:pPr>
            <w:r w:rsidRPr="00CD4AE3">
              <w:rPr>
                <w:b/>
                <w:sz w:val="24"/>
                <w:szCs w:val="24"/>
              </w:rPr>
              <w:t xml:space="preserve">Количество </w:t>
            </w:r>
            <w:r>
              <w:rPr>
                <w:b/>
                <w:sz w:val="24"/>
                <w:szCs w:val="24"/>
              </w:rPr>
              <w:t>оконченных производством</w:t>
            </w:r>
            <w:r w:rsidRPr="00CD4AE3">
              <w:rPr>
                <w:b/>
                <w:sz w:val="24"/>
                <w:szCs w:val="24"/>
              </w:rPr>
              <w:t xml:space="preserve"> дел в 1 инстанции за 12 месяцев</w:t>
            </w:r>
          </w:p>
        </w:tc>
      </w:tr>
      <w:tr w:rsidR="004C6052" w:rsidRPr="00CD4AE3" w:rsidTr="007C50D0">
        <w:tc>
          <w:tcPr>
            <w:tcW w:w="3544" w:type="dxa"/>
            <w:tcBorders>
              <w:top w:val="single" w:sz="4" w:space="0" w:color="auto"/>
              <w:bottom w:val="thickThinLargeGap" w:sz="24" w:space="0" w:color="auto"/>
            </w:tcBorders>
            <w:shd w:val="clear" w:color="auto" w:fill="auto"/>
          </w:tcPr>
          <w:p w:rsidR="004C6052" w:rsidRPr="00CD4AE3" w:rsidRDefault="004C6052" w:rsidP="008619A6">
            <w:pPr>
              <w:contextualSpacing/>
              <w:jc w:val="center"/>
              <w:rPr>
                <w:sz w:val="24"/>
                <w:szCs w:val="24"/>
              </w:rPr>
            </w:pPr>
            <w:r w:rsidRPr="00CD4AE3">
              <w:rPr>
                <w:sz w:val="24"/>
                <w:szCs w:val="24"/>
              </w:rPr>
              <w:t>Судопроизводство</w:t>
            </w:r>
          </w:p>
        </w:tc>
        <w:tc>
          <w:tcPr>
            <w:tcW w:w="1276" w:type="dxa"/>
            <w:tcBorders>
              <w:top w:val="single" w:sz="4" w:space="0" w:color="auto"/>
              <w:bottom w:val="thickThinLargeGap" w:sz="24" w:space="0" w:color="auto"/>
            </w:tcBorders>
            <w:shd w:val="clear" w:color="auto" w:fill="auto"/>
          </w:tcPr>
          <w:p w:rsidR="004C6052" w:rsidRPr="00CD4AE3" w:rsidRDefault="004C6052" w:rsidP="008619A6">
            <w:pPr>
              <w:contextualSpacing/>
              <w:jc w:val="center"/>
              <w:rPr>
                <w:b/>
                <w:sz w:val="24"/>
                <w:szCs w:val="24"/>
              </w:rPr>
            </w:pPr>
            <w:r>
              <w:rPr>
                <w:b/>
                <w:sz w:val="24"/>
                <w:szCs w:val="24"/>
              </w:rPr>
              <w:t>2013</w:t>
            </w:r>
          </w:p>
        </w:tc>
        <w:tc>
          <w:tcPr>
            <w:tcW w:w="993" w:type="dxa"/>
            <w:tcBorders>
              <w:top w:val="single" w:sz="4" w:space="0" w:color="auto"/>
              <w:bottom w:val="thickThinLargeGap" w:sz="24" w:space="0" w:color="auto"/>
            </w:tcBorders>
            <w:shd w:val="clear" w:color="auto" w:fill="auto"/>
          </w:tcPr>
          <w:p w:rsidR="004C6052" w:rsidRPr="00CD4AE3" w:rsidRDefault="004C6052" w:rsidP="008619A6">
            <w:pPr>
              <w:contextualSpacing/>
              <w:jc w:val="center"/>
              <w:rPr>
                <w:b/>
                <w:sz w:val="24"/>
                <w:szCs w:val="24"/>
              </w:rPr>
            </w:pPr>
            <w:r>
              <w:rPr>
                <w:b/>
                <w:sz w:val="24"/>
                <w:szCs w:val="24"/>
              </w:rPr>
              <w:t>2014</w:t>
            </w:r>
          </w:p>
        </w:tc>
        <w:tc>
          <w:tcPr>
            <w:tcW w:w="1275" w:type="dxa"/>
            <w:tcBorders>
              <w:top w:val="single" w:sz="4" w:space="0" w:color="auto"/>
              <w:bottom w:val="thickThinLargeGap" w:sz="24" w:space="0" w:color="auto"/>
            </w:tcBorders>
            <w:shd w:val="clear" w:color="auto" w:fill="auto"/>
          </w:tcPr>
          <w:p w:rsidR="004C6052" w:rsidRPr="00CD4AE3" w:rsidRDefault="004C6052" w:rsidP="008619A6">
            <w:pPr>
              <w:contextualSpacing/>
              <w:jc w:val="center"/>
              <w:rPr>
                <w:b/>
                <w:sz w:val="24"/>
                <w:szCs w:val="24"/>
              </w:rPr>
            </w:pPr>
            <w:r>
              <w:rPr>
                <w:b/>
                <w:sz w:val="24"/>
                <w:szCs w:val="24"/>
              </w:rPr>
              <w:t>2015</w:t>
            </w:r>
          </w:p>
        </w:tc>
        <w:tc>
          <w:tcPr>
            <w:tcW w:w="1134" w:type="dxa"/>
            <w:tcBorders>
              <w:top w:val="single" w:sz="4" w:space="0" w:color="auto"/>
              <w:bottom w:val="thickThinLargeGap" w:sz="24" w:space="0" w:color="auto"/>
            </w:tcBorders>
            <w:shd w:val="clear" w:color="auto" w:fill="auto"/>
          </w:tcPr>
          <w:p w:rsidR="004C6052" w:rsidRPr="00CD4AE3" w:rsidRDefault="004C6052" w:rsidP="008619A6">
            <w:pPr>
              <w:contextualSpacing/>
              <w:jc w:val="center"/>
              <w:rPr>
                <w:b/>
                <w:sz w:val="24"/>
                <w:szCs w:val="24"/>
              </w:rPr>
            </w:pPr>
            <w:r>
              <w:rPr>
                <w:b/>
                <w:sz w:val="24"/>
                <w:szCs w:val="24"/>
              </w:rPr>
              <w:t>2016</w:t>
            </w:r>
          </w:p>
        </w:tc>
        <w:tc>
          <w:tcPr>
            <w:tcW w:w="1134" w:type="dxa"/>
            <w:tcBorders>
              <w:top w:val="single" w:sz="4" w:space="0" w:color="auto"/>
              <w:bottom w:val="thickThinLargeGap" w:sz="24" w:space="0" w:color="auto"/>
            </w:tcBorders>
            <w:shd w:val="clear" w:color="auto" w:fill="auto"/>
          </w:tcPr>
          <w:p w:rsidR="004C6052" w:rsidRPr="00CD4AE3" w:rsidRDefault="004C6052" w:rsidP="008619A6">
            <w:pPr>
              <w:contextualSpacing/>
              <w:jc w:val="center"/>
              <w:rPr>
                <w:b/>
                <w:sz w:val="24"/>
                <w:szCs w:val="24"/>
              </w:rPr>
            </w:pPr>
            <w:r>
              <w:rPr>
                <w:b/>
                <w:sz w:val="24"/>
                <w:szCs w:val="24"/>
              </w:rPr>
              <w:t>2017</w:t>
            </w:r>
          </w:p>
        </w:tc>
      </w:tr>
      <w:tr w:rsidR="004C6052" w:rsidRPr="00CD4AE3" w:rsidTr="007C50D0">
        <w:trPr>
          <w:trHeight w:val="335"/>
        </w:trPr>
        <w:tc>
          <w:tcPr>
            <w:tcW w:w="3544" w:type="dxa"/>
            <w:tcBorders>
              <w:top w:val="thickThinLargeGap" w:sz="24" w:space="0" w:color="auto"/>
            </w:tcBorders>
          </w:tcPr>
          <w:p w:rsidR="004C6052" w:rsidRPr="00CD4AE3" w:rsidRDefault="004C6052" w:rsidP="008619A6">
            <w:pPr>
              <w:contextualSpacing/>
              <w:jc w:val="center"/>
              <w:rPr>
                <w:b/>
                <w:sz w:val="24"/>
                <w:szCs w:val="24"/>
                <w:lang w:val="en-US"/>
              </w:rPr>
            </w:pPr>
            <w:r w:rsidRPr="00CD4AE3">
              <w:rPr>
                <w:b/>
                <w:sz w:val="24"/>
                <w:szCs w:val="24"/>
              </w:rPr>
              <w:t>Уголовное</w:t>
            </w:r>
          </w:p>
        </w:tc>
        <w:tc>
          <w:tcPr>
            <w:tcW w:w="1276" w:type="dxa"/>
            <w:tcBorders>
              <w:top w:val="thickThinLargeGap" w:sz="24" w:space="0" w:color="auto"/>
            </w:tcBorders>
          </w:tcPr>
          <w:p w:rsidR="004C6052" w:rsidRPr="00ED705A" w:rsidRDefault="004C6052" w:rsidP="008619A6">
            <w:pPr>
              <w:contextualSpacing/>
              <w:jc w:val="center"/>
              <w:rPr>
                <w:i/>
                <w:sz w:val="24"/>
                <w:szCs w:val="24"/>
                <w:highlight w:val="yellow"/>
              </w:rPr>
            </w:pPr>
            <w:r w:rsidRPr="00ED705A">
              <w:rPr>
                <w:i/>
                <w:sz w:val="24"/>
                <w:szCs w:val="24"/>
              </w:rPr>
              <w:t>93</w:t>
            </w:r>
          </w:p>
        </w:tc>
        <w:tc>
          <w:tcPr>
            <w:tcW w:w="993" w:type="dxa"/>
            <w:tcBorders>
              <w:top w:val="thickThinLargeGap" w:sz="24" w:space="0" w:color="auto"/>
            </w:tcBorders>
          </w:tcPr>
          <w:p w:rsidR="004C6052" w:rsidRPr="00ED705A" w:rsidRDefault="004C6052" w:rsidP="008619A6">
            <w:pPr>
              <w:contextualSpacing/>
              <w:jc w:val="center"/>
              <w:rPr>
                <w:i/>
                <w:sz w:val="24"/>
                <w:szCs w:val="24"/>
                <w:highlight w:val="yellow"/>
              </w:rPr>
            </w:pPr>
            <w:r w:rsidRPr="00ED705A">
              <w:rPr>
                <w:i/>
                <w:sz w:val="24"/>
                <w:szCs w:val="24"/>
              </w:rPr>
              <w:t>74</w:t>
            </w:r>
          </w:p>
        </w:tc>
        <w:tc>
          <w:tcPr>
            <w:tcW w:w="1275" w:type="dxa"/>
            <w:tcBorders>
              <w:top w:val="thickThinLargeGap" w:sz="24" w:space="0" w:color="auto"/>
            </w:tcBorders>
          </w:tcPr>
          <w:p w:rsidR="004C6052" w:rsidRPr="00ED705A" w:rsidRDefault="004C6052" w:rsidP="008619A6">
            <w:pPr>
              <w:contextualSpacing/>
              <w:jc w:val="center"/>
              <w:rPr>
                <w:i/>
                <w:iCs/>
                <w:sz w:val="24"/>
                <w:szCs w:val="24"/>
                <w:highlight w:val="yellow"/>
              </w:rPr>
            </w:pPr>
            <w:r>
              <w:rPr>
                <w:i/>
                <w:iCs/>
                <w:sz w:val="24"/>
                <w:szCs w:val="24"/>
              </w:rPr>
              <w:t>48</w:t>
            </w:r>
          </w:p>
        </w:tc>
        <w:tc>
          <w:tcPr>
            <w:tcW w:w="1134" w:type="dxa"/>
            <w:tcBorders>
              <w:top w:val="thickThinLargeGap" w:sz="24" w:space="0" w:color="auto"/>
            </w:tcBorders>
          </w:tcPr>
          <w:p w:rsidR="004C6052" w:rsidRPr="00ED705A" w:rsidRDefault="004C6052" w:rsidP="008619A6">
            <w:pPr>
              <w:tabs>
                <w:tab w:val="left" w:pos="330"/>
                <w:tab w:val="center" w:pos="459"/>
              </w:tabs>
              <w:contextualSpacing/>
              <w:jc w:val="center"/>
              <w:rPr>
                <w:i/>
                <w:iCs/>
                <w:sz w:val="24"/>
                <w:szCs w:val="24"/>
                <w:highlight w:val="yellow"/>
              </w:rPr>
            </w:pPr>
            <w:r w:rsidRPr="00ED705A">
              <w:rPr>
                <w:i/>
                <w:iCs/>
                <w:sz w:val="24"/>
                <w:szCs w:val="24"/>
              </w:rPr>
              <w:t>53</w:t>
            </w:r>
          </w:p>
        </w:tc>
        <w:tc>
          <w:tcPr>
            <w:tcW w:w="1134" w:type="dxa"/>
            <w:tcBorders>
              <w:top w:val="thickThinLargeGap" w:sz="24" w:space="0" w:color="auto"/>
            </w:tcBorders>
          </w:tcPr>
          <w:p w:rsidR="004C6052" w:rsidRPr="00ED705A" w:rsidRDefault="004C6052" w:rsidP="008619A6">
            <w:pPr>
              <w:contextualSpacing/>
              <w:jc w:val="center"/>
              <w:rPr>
                <w:i/>
                <w:iCs/>
                <w:sz w:val="24"/>
                <w:szCs w:val="24"/>
                <w:highlight w:val="yellow"/>
              </w:rPr>
            </w:pPr>
            <w:r w:rsidRPr="00ED705A">
              <w:rPr>
                <w:i/>
                <w:iCs/>
                <w:sz w:val="24"/>
                <w:szCs w:val="24"/>
              </w:rPr>
              <w:t>34</w:t>
            </w:r>
          </w:p>
        </w:tc>
      </w:tr>
      <w:tr w:rsidR="004C6052" w:rsidRPr="00CD4AE3" w:rsidTr="007C50D0">
        <w:trPr>
          <w:trHeight w:val="163"/>
        </w:trPr>
        <w:tc>
          <w:tcPr>
            <w:tcW w:w="3544" w:type="dxa"/>
          </w:tcPr>
          <w:p w:rsidR="004C6052" w:rsidRPr="00CD4AE3" w:rsidRDefault="004C6052" w:rsidP="008619A6">
            <w:pPr>
              <w:contextualSpacing/>
              <w:jc w:val="center"/>
              <w:rPr>
                <w:b/>
                <w:sz w:val="24"/>
                <w:szCs w:val="24"/>
                <w:lang w:val="en-US"/>
              </w:rPr>
            </w:pPr>
            <w:r w:rsidRPr="00CD4AE3">
              <w:rPr>
                <w:b/>
                <w:sz w:val="24"/>
                <w:szCs w:val="24"/>
              </w:rPr>
              <w:t>Гражданское</w:t>
            </w:r>
          </w:p>
        </w:tc>
        <w:tc>
          <w:tcPr>
            <w:tcW w:w="1276" w:type="dxa"/>
          </w:tcPr>
          <w:p w:rsidR="004C6052" w:rsidRPr="00ED705A" w:rsidRDefault="004C6052" w:rsidP="008619A6">
            <w:pPr>
              <w:contextualSpacing/>
              <w:jc w:val="center"/>
              <w:rPr>
                <w:i/>
                <w:sz w:val="24"/>
                <w:szCs w:val="24"/>
                <w:highlight w:val="yellow"/>
              </w:rPr>
            </w:pPr>
            <w:r w:rsidRPr="00A9452D">
              <w:rPr>
                <w:i/>
                <w:sz w:val="24"/>
                <w:szCs w:val="24"/>
              </w:rPr>
              <w:t>37</w:t>
            </w:r>
          </w:p>
        </w:tc>
        <w:tc>
          <w:tcPr>
            <w:tcW w:w="993" w:type="dxa"/>
          </w:tcPr>
          <w:p w:rsidR="004C6052" w:rsidRPr="00ED705A" w:rsidRDefault="004C6052" w:rsidP="008619A6">
            <w:pPr>
              <w:contextualSpacing/>
              <w:jc w:val="center"/>
              <w:rPr>
                <w:i/>
                <w:sz w:val="24"/>
                <w:szCs w:val="24"/>
                <w:highlight w:val="yellow"/>
              </w:rPr>
            </w:pPr>
            <w:r>
              <w:rPr>
                <w:i/>
                <w:sz w:val="24"/>
                <w:szCs w:val="24"/>
              </w:rPr>
              <w:t>84</w:t>
            </w:r>
          </w:p>
        </w:tc>
        <w:tc>
          <w:tcPr>
            <w:tcW w:w="1275" w:type="dxa"/>
          </w:tcPr>
          <w:p w:rsidR="004C6052" w:rsidRPr="00ED705A" w:rsidRDefault="004C6052" w:rsidP="008619A6">
            <w:pPr>
              <w:contextualSpacing/>
              <w:jc w:val="center"/>
              <w:rPr>
                <w:i/>
                <w:iCs/>
                <w:sz w:val="24"/>
                <w:szCs w:val="24"/>
                <w:highlight w:val="yellow"/>
              </w:rPr>
            </w:pPr>
            <w:r w:rsidRPr="00E76BAA">
              <w:rPr>
                <w:i/>
                <w:iCs/>
                <w:sz w:val="24"/>
                <w:szCs w:val="24"/>
              </w:rPr>
              <w:t>143</w:t>
            </w:r>
          </w:p>
        </w:tc>
        <w:tc>
          <w:tcPr>
            <w:tcW w:w="1134" w:type="dxa"/>
          </w:tcPr>
          <w:p w:rsidR="004C6052" w:rsidRPr="00ED705A" w:rsidRDefault="004C6052" w:rsidP="008619A6">
            <w:pPr>
              <w:contextualSpacing/>
              <w:jc w:val="center"/>
              <w:rPr>
                <w:i/>
                <w:iCs/>
                <w:sz w:val="24"/>
                <w:szCs w:val="24"/>
                <w:highlight w:val="yellow"/>
              </w:rPr>
            </w:pPr>
            <w:r w:rsidRPr="00E76BAA">
              <w:rPr>
                <w:i/>
                <w:iCs/>
                <w:sz w:val="24"/>
                <w:szCs w:val="24"/>
              </w:rPr>
              <w:t>6</w:t>
            </w:r>
          </w:p>
        </w:tc>
        <w:tc>
          <w:tcPr>
            <w:tcW w:w="1134" w:type="dxa"/>
          </w:tcPr>
          <w:p w:rsidR="004C6052" w:rsidRPr="00E76BAA" w:rsidRDefault="004C6052" w:rsidP="008619A6">
            <w:pPr>
              <w:contextualSpacing/>
              <w:jc w:val="center"/>
              <w:rPr>
                <w:i/>
                <w:iCs/>
                <w:sz w:val="24"/>
                <w:szCs w:val="24"/>
              </w:rPr>
            </w:pPr>
            <w:r w:rsidRPr="00E76BAA">
              <w:rPr>
                <w:i/>
                <w:iCs/>
                <w:sz w:val="24"/>
                <w:szCs w:val="24"/>
              </w:rPr>
              <w:t>4</w:t>
            </w:r>
          </w:p>
        </w:tc>
      </w:tr>
      <w:tr w:rsidR="004C6052" w:rsidRPr="00CD4AE3" w:rsidTr="007C50D0">
        <w:trPr>
          <w:trHeight w:val="77"/>
        </w:trPr>
        <w:tc>
          <w:tcPr>
            <w:tcW w:w="3544" w:type="dxa"/>
          </w:tcPr>
          <w:p w:rsidR="004C6052" w:rsidRPr="00CD4AE3" w:rsidRDefault="004C6052" w:rsidP="008619A6">
            <w:pPr>
              <w:contextualSpacing/>
              <w:jc w:val="center"/>
              <w:rPr>
                <w:b/>
                <w:sz w:val="24"/>
                <w:szCs w:val="24"/>
                <w:lang w:val="en-US"/>
              </w:rPr>
            </w:pPr>
            <w:r w:rsidRPr="00CD4AE3">
              <w:rPr>
                <w:b/>
                <w:sz w:val="24"/>
                <w:szCs w:val="24"/>
              </w:rPr>
              <w:t>Административное</w:t>
            </w:r>
          </w:p>
        </w:tc>
        <w:tc>
          <w:tcPr>
            <w:tcW w:w="1276" w:type="dxa"/>
          </w:tcPr>
          <w:p w:rsidR="004C6052" w:rsidRPr="00ED705A" w:rsidRDefault="004C6052" w:rsidP="008619A6">
            <w:pPr>
              <w:contextualSpacing/>
              <w:jc w:val="center"/>
              <w:rPr>
                <w:i/>
                <w:sz w:val="24"/>
                <w:szCs w:val="24"/>
              </w:rPr>
            </w:pPr>
            <w:r w:rsidRPr="00ED705A">
              <w:rPr>
                <w:i/>
                <w:sz w:val="24"/>
                <w:szCs w:val="24"/>
              </w:rPr>
              <w:t>-</w:t>
            </w:r>
          </w:p>
        </w:tc>
        <w:tc>
          <w:tcPr>
            <w:tcW w:w="993" w:type="dxa"/>
          </w:tcPr>
          <w:p w:rsidR="004C6052" w:rsidRPr="00ED705A" w:rsidRDefault="004C6052" w:rsidP="008619A6">
            <w:pPr>
              <w:contextualSpacing/>
              <w:jc w:val="center"/>
              <w:rPr>
                <w:i/>
                <w:sz w:val="24"/>
                <w:szCs w:val="24"/>
              </w:rPr>
            </w:pPr>
            <w:r w:rsidRPr="00ED705A">
              <w:rPr>
                <w:i/>
                <w:sz w:val="24"/>
                <w:szCs w:val="24"/>
              </w:rPr>
              <w:t>-</w:t>
            </w:r>
          </w:p>
        </w:tc>
        <w:tc>
          <w:tcPr>
            <w:tcW w:w="1275" w:type="dxa"/>
          </w:tcPr>
          <w:p w:rsidR="004C6052" w:rsidRPr="00ED705A" w:rsidRDefault="004C6052" w:rsidP="008619A6">
            <w:pPr>
              <w:contextualSpacing/>
              <w:jc w:val="center"/>
              <w:rPr>
                <w:i/>
                <w:iCs/>
                <w:sz w:val="24"/>
                <w:szCs w:val="24"/>
              </w:rPr>
            </w:pPr>
            <w:r w:rsidRPr="00ED705A">
              <w:rPr>
                <w:i/>
                <w:iCs/>
                <w:sz w:val="24"/>
                <w:szCs w:val="24"/>
              </w:rPr>
              <w:t>-</w:t>
            </w:r>
          </w:p>
        </w:tc>
        <w:tc>
          <w:tcPr>
            <w:tcW w:w="1134" w:type="dxa"/>
          </w:tcPr>
          <w:p w:rsidR="004C6052" w:rsidRPr="00ED705A" w:rsidRDefault="004C6052" w:rsidP="008619A6">
            <w:pPr>
              <w:contextualSpacing/>
              <w:jc w:val="center"/>
              <w:rPr>
                <w:i/>
                <w:iCs/>
                <w:sz w:val="24"/>
                <w:szCs w:val="24"/>
                <w:highlight w:val="yellow"/>
              </w:rPr>
            </w:pPr>
            <w:r w:rsidRPr="00E76BAA">
              <w:rPr>
                <w:i/>
                <w:iCs/>
                <w:sz w:val="24"/>
                <w:szCs w:val="24"/>
              </w:rPr>
              <w:t>322</w:t>
            </w:r>
          </w:p>
        </w:tc>
        <w:tc>
          <w:tcPr>
            <w:tcW w:w="1134" w:type="dxa"/>
          </w:tcPr>
          <w:p w:rsidR="004C6052" w:rsidRPr="00E76BAA" w:rsidRDefault="004C6052" w:rsidP="008619A6">
            <w:pPr>
              <w:contextualSpacing/>
              <w:jc w:val="center"/>
              <w:rPr>
                <w:i/>
                <w:iCs/>
                <w:sz w:val="24"/>
                <w:szCs w:val="24"/>
              </w:rPr>
            </w:pPr>
            <w:r w:rsidRPr="00E76BAA">
              <w:rPr>
                <w:i/>
                <w:iCs/>
                <w:sz w:val="24"/>
                <w:szCs w:val="24"/>
              </w:rPr>
              <w:t>562</w:t>
            </w:r>
          </w:p>
        </w:tc>
      </w:tr>
    </w:tbl>
    <w:p w:rsidR="004C6052" w:rsidRPr="004C6052" w:rsidRDefault="004C6052" w:rsidP="008619A6">
      <w:pPr>
        <w:ind w:firstLine="900"/>
        <w:contextualSpacing/>
        <w:jc w:val="both"/>
        <w:rPr>
          <w:i/>
          <w:sz w:val="24"/>
          <w:szCs w:val="24"/>
        </w:rPr>
      </w:pPr>
      <w:r w:rsidRPr="004C6052">
        <w:rPr>
          <w:i/>
          <w:sz w:val="24"/>
          <w:szCs w:val="24"/>
        </w:rPr>
        <w:t xml:space="preserve">* с учетом административных дел, рассмотренных после выделения в </w:t>
      </w:r>
      <w:proofErr w:type="gramStart"/>
      <w:r w:rsidRPr="004C6052">
        <w:rPr>
          <w:i/>
          <w:sz w:val="24"/>
          <w:szCs w:val="24"/>
        </w:rPr>
        <w:t>отдельное</w:t>
      </w:r>
      <w:proofErr w:type="gramEnd"/>
      <w:r w:rsidRPr="004C6052">
        <w:rPr>
          <w:i/>
          <w:sz w:val="24"/>
          <w:szCs w:val="24"/>
        </w:rPr>
        <w:t xml:space="preserve"> </w:t>
      </w:r>
    </w:p>
    <w:p w:rsidR="004C6052" w:rsidRPr="004C6052" w:rsidRDefault="004C6052" w:rsidP="008619A6">
      <w:pPr>
        <w:ind w:firstLine="900"/>
        <w:contextualSpacing/>
        <w:jc w:val="both"/>
        <w:rPr>
          <w:i/>
          <w:sz w:val="24"/>
          <w:szCs w:val="24"/>
        </w:rPr>
      </w:pPr>
      <w:r w:rsidRPr="004C6052">
        <w:rPr>
          <w:i/>
          <w:sz w:val="24"/>
          <w:szCs w:val="24"/>
        </w:rPr>
        <w:t>производство в сентябре 2015 года</w:t>
      </w:r>
    </w:p>
    <w:p w:rsidR="004C6052" w:rsidRDefault="004C6052" w:rsidP="008619A6">
      <w:pPr>
        <w:ind w:firstLine="900"/>
        <w:contextualSpacing/>
        <w:jc w:val="both"/>
        <w:rPr>
          <w:sz w:val="28"/>
          <w:szCs w:val="28"/>
        </w:rPr>
      </w:pPr>
    </w:p>
    <w:p w:rsidR="004C6052" w:rsidRDefault="004C6052" w:rsidP="008619A6">
      <w:pPr>
        <w:ind w:firstLine="900"/>
        <w:contextualSpacing/>
        <w:jc w:val="both"/>
        <w:rPr>
          <w:sz w:val="28"/>
          <w:szCs w:val="28"/>
        </w:rPr>
      </w:pPr>
      <w:r w:rsidRPr="00927695">
        <w:rPr>
          <w:sz w:val="28"/>
          <w:szCs w:val="28"/>
        </w:rPr>
        <w:t xml:space="preserve">В апелляционном порядке Верховным Судом Республики Татарстан за 12 месяцев 2017 года </w:t>
      </w:r>
      <w:r>
        <w:rPr>
          <w:sz w:val="28"/>
          <w:szCs w:val="28"/>
        </w:rPr>
        <w:t>окончено производством</w:t>
      </w:r>
      <w:r w:rsidRPr="00927695">
        <w:rPr>
          <w:sz w:val="28"/>
          <w:szCs w:val="28"/>
        </w:rPr>
        <w:t xml:space="preserve"> </w:t>
      </w:r>
      <w:r>
        <w:rPr>
          <w:sz w:val="28"/>
          <w:szCs w:val="28"/>
        </w:rPr>
        <w:t>16929</w:t>
      </w:r>
      <w:r w:rsidRPr="00927695">
        <w:rPr>
          <w:sz w:val="28"/>
          <w:szCs w:val="28"/>
        </w:rPr>
        <w:t xml:space="preserve"> гражданских дела, </w:t>
      </w:r>
      <w:r>
        <w:rPr>
          <w:sz w:val="28"/>
          <w:szCs w:val="28"/>
        </w:rPr>
        <w:t>9138</w:t>
      </w:r>
      <w:r w:rsidRPr="00927695">
        <w:rPr>
          <w:sz w:val="28"/>
          <w:szCs w:val="28"/>
        </w:rPr>
        <w:t xml:space="preserve"> уголовных дел, 2</w:t>
      </w:r>
      <w:r>
        <w:rPr>
          <w:sz w:val="28"/>
          <w:szCs w:val="28"/>
        </w:rPr>
        <w:t>127</w:t>
      </w:r>
      <w:r w:rsidRPr="00927695">
        <w:rPr>
          <w:sz w:val="28"/>
          <w:szCs w:val="28"/>
        </w:rPr>
        <w:t xml:space="preserve"> административных дел и </w:t>
      </w:r>
      <w:r>
        <w:rPr>
          <w:sz w:val="28"/>
          <w:szCs w:val="28"/>
        </w:rPr>
        <w:t>4210</w:t>
      </w:r>
      <w:r w:rsidRPr="00927695">
        <w:rPr>
          <w:sz w:val="28"/>
          <w:szCs w:val="28"/>
        </w:rPr>
        <w:t xml:space="preserve"> жалоб и протестов по д</w:t>
      </w:r>
      <w:r w:rsidRPr="00927695">
        <w:rPr>
          <w:sz w:val="28"/>
          <w:szCs w:val="28"/>
        </w:rPr>
        <w:t>е</w:t>
      </w:r>
      <w:r w:rsidRPr="00927695">
        <w:rPr>
          <w:sz w:val="28"/>
          <w:szCs w:val="28"/>
        </w:rPr>
        <w:t xml:space="preserve">лам об административных правонарушениях. </w:t>
      </w:r>
    </w:p>
    <w:p w:rsidR="004C6052" w:rsidRDefault="004C6052" w:rsidP="008619A6">
      <w:pPr>
        <w:ind w:firstLine="900"/>
        <w:contextualSpacing/>
        <w:jc w:val="center"/>
        <w:rPr>
          <w:sz w:val="24"/>
          <w:szCs w:val="24"/>
        </w:rPr>
      </w:pPr>
      <w:r w:rsidRPr="005F18CB">
        <w:rPr>
          <w:sz w:val="24"/>
          <w:szCs w:val="24"/>
        </w:rPr>
        <w:t xml:space="preserve">                                                                                                                  </w:t>
      </w:r>
      <w:r>
        <w:rPr>
          <w:sz w:val="24"/>
          <w:szCs w:val="24"/>
        </w:rPr>
        <w:t xml:space="preserve">   </w:t>
      </w:r>
      <w:r w:rsidRPr="005F18CB">
        <w:rPr>
          <w:sz w:val="24"/>
          <w:szCs w:val="24"/>
        </w:rPr>
        <w:t xml:space="preserve">      Та</w:t>
      </w:r>
      <w:r w:rsidRPr="005F18CB">
        <w:rPr>
          <w:sz w:val="24"/>
          <w:szCs w:val="24"/>
        </w:rPr>
        <w:t>б</w:t>
      </w:r>
      <w:r>
        <w:rPr>
          <w:sz w:val="24"/>
          <w:szCs w:val="24"/>
        </w:rPr>
        <w:t>лица 2</w:t>
      </w:r>
    </w:p>
    <w:tbl>
      <w:tblPr>
        <w:tblW w:w="9356" w:type="dxa"/>
        <w:tblInd w:w="250"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3544"/>
        <w:gridCol w:w="1276"/>
        <w:gridCol w:w="993"/>
        <w:gridCol w:w="1275"/>
        <w:gridCol w:w="1134"/>
        <w:gridCol w:w="1134"/>
      </w:tblGrid>
      <w:tr w:rsidR="004C6052" w:rsidRPr="00CD4AE3" w:rsidTr="007C50D0">
        <w:trPr>
          <w:trHeight w:val="390"/>
        </w:trPr>
        <w:tc>
          <w:tcPr>
            <w:tcW w:w="9356" w:type="dxa"/>
            <w:gridSpan w:val="6"/>
            <w:tcBorders>
              <w:top w:val="double" w:sz="4" w:space="0" w:color="auto"/>
              <w:bottom w:val="single" w:sz="4" w:space="0" w:color="auto"/>
            </w:tcBorders>
            <w:shd w:val="clear" w:color="auto" w:fill="auto"/>
          </w:tcPr>
          <w:p w:rsidR="004C6052" w:rsidRPr="00CD4AE3" w:rsidRDefault="004C6052" w:rsidP="008619A6">
            <w:pPr>
              <w:contextualSpacing/>
              <w:jc w:val="center"/>
              <w:rPr>
                <w:b/>
                <w:sz w:val="24"/>
                <w:szCs w:val="24"/>
              </w:rPr>
            </w:pPr>
            <w:r w:rsidRPr="00CD4AE3">
              <w:rPr>
                <w:b/>
                <w:sz w:val="24"/>
                <w:szCs w:val="24"/>
              </w:rPr>
              <w:t xml:space="preserve">Количество </w:t>
            </w:r>
            <w:r>
              <w:rPr>
                <w:b/>
                <w:sz w:val="24"/>
                <w:szCs w:val="24"/>
              </w:rPr>
              <w:t>оконченных производством</w:t>
            </w:r>
            <w:r w:rsidRPr="00CD4AE3">
              <w:rPr>
                <w:b/>
                <w:sz w:val="24"/>
                <w:szCs w:val="24"/>
              </w:rPr>
              <w:t xml:space="preserve"> дел в </w:t>
            </w:r>
            <w:r>
              <w:rPr>
                <w:b/>
                <w:sz w:val="24"/>
                <w:szCs w:val="24"/>
              </w:rPr>
              <w:t>апелляционном порядке</w:t>
            </w:r>
            <w:r w:rsidRPr="00CD4AE3">
              <w:rPr>
                <w:b/>
                <w:sz w:val="24"/>
                <w:szCs w:val="24"/>
              </w:rPr>
              <w:t xml:space="preserve"> за 12 мес</w:t>
            </w:r>
            <w:r w:rsidRPr="00CD4AE3">
              <w:rPr>
                <w:b/>
                <w:sz w:val="24"/>
                <w:szCs w:val="24"/>
              </w:rPr>
              <w:t>я</w:t>
            </w:r>
            <w:r w:rsidRPr="00CD4AE3">
              <w:rPr>
                <w:b/>
                <w:sz w:val="24"/>
                <w:szCs w:val="24"/>
              </w:rPr>
              <w:t>цев</w:t>
            </w:r>
          </w:p>
        </w:tc>
      </w:tr>
      <w:tr w:rsidR="004C6052" w:rsidRPr="00CD4AE3" w:rsidTr="007C50D0">
        <w:tc>
          <w:tcPr>
            <w:tcW w:w="3544" w:type="dxa"/>
            <w:tcBorders>
              <w:top w:val="single" w:sz="4" w:space="0" w:color="auto"/>
              <w:bottom w:val="thickThinLargeGap" w:sz="24" w:space="0" w:color="auto"/>
            </w:tcBorders>
            <w:shd w:val="clear" w:color="auto" w:fill="auto"/>
          </w:tcPr>
          <w:p w:rsidR="004C6052" w:rsidRPr="00CD4AE3" w:rsidRDefault="004C6052" w:rsidP="008619A6">
            <w:pPr>
              <w:contextualSpacing/>
              <w:jc w:val="center"/>
              <w:rPr>
                <w:sz w:val="24"/>
                <w:szCs w:val="24"/>
              </w:rPr>
            </w:pPr>
            <w:r w:rsidRPr="00CD4AE3">
              <w:rPr>
                <w:sz w:val="24"/>
                <w:szCs w:val="24"/>
              </w:rPr>
              <w:t>Судопроизводство</w:t>
            </w:r>
          </w:p>
        </w:tc>
        <w:tc>
          <w:tcPr>
            <w:tcW w:w="1276" w:type="dxa"/>
            <w:tcBorders>
              <w:top w:val="single" w:sz="4" w:space="0" w:color="auto"/>
              <w:bottom w:val="thickThinLargeGap" w:sz="24" w:space="0" w:color="auto"/>
            </w:tcBorders>
            <w:shd w:val="clear" w:color="auto" w:fill="auto"/>
          </w:tcPr>
          <w:p w:rsidR="004C6052" w:rsidRPr="00CD4AE3" w:rsidRDefault="004C6052" w:rsidP="008619A6">
            <w:pPr>
              <w:contextualSpacing/>
              <w:jc w:val="center"/>
              <w:rPr>
                <w:b/>
                <w:sz w:val="24"/>
                <w:szCs w:val="24"/>
              </w:rPr>
            </w:pPr>
            <w:r>
              <w:rPr>
                <w:b/>
                <w:sz w:val="24"/>
                <w:szCs w:val="24"/>
              </w:rPr>
              <w:t>2013</w:t>
            </w:r>
          </w:p>
        </w:tc>
        <w:tc>
          <w:tcPr>
            <w:tcW w:w="993" w:type="dxa"/>
            <w:tcBorders>
              <w:top w:val="single" w:sz="4" w:space="0" w:color="auto"/>
              <w:bottom w:val="thickThinLargeGap" w:sz="24" w:space="0" w:color="auto"/>
            </w:tcBorders>
            <w:shd w:val="clear" w:color="auto" w:fill="auto"/>
          </w:tcPr>
          <w:p w:rsidR="004C6052" w:rsidRPr="00CD4AE3" w:rsidRDefault="004C6052" w:rsidP="008619A6">
            <w:pPr>
              <w:contextualSpacing/>
              <w:jc w:val="center"/>
              <w:rPr>
                <w:b/>
                <w:sz w:val="24"/>
                <w:szCs w:val="24"/>
              </w:rPr>
            </w:pPr>
            <w:r>
              <w:rPr>
                <w:b/>
                <w:sz w:val="24"/>
                <w:szCs w:val="24"/>
              </w:rPr>
              <w:t>2014</w:t>
            </w:r>
          </w:p>
        </w:tc>
        <w:tc>
          <w:tcPr>
            <w:tcW w:w="1275" w:type="dxa"/>
            <w:tcBorders>
              <w:top w:val="single" w:sz="4" w:space="0" w:color="auto"/>
              <w:bottom w:val="thickThinLargeGap" w:sz="24" w:space="0" w:color="auto"/>
            </w:tcBorders>
            <w:shd w:val="clear" w:color="auto" w:fill="auto"/>
          </w:tcPr>
          <w:p w:rsidR="004C6052" w:rsidRPr="00CD4AE3" w:rsidRDefault="004C6052" w:rsidP="008619A6">
            <w:pPr>
              <w:contextualSpacing/>
              <w:jc w:val="center"/>
              <w:rPr>
                <w:b/>
                <w:sz w:val="24"/>
                <w:szCs w:val="24"/>
              </w:rPr>
            </w:pPr>
            <w:r>
              <w:rPr>
                <w:b/>
                <w:sz w:val="24"/>
                <w:szCs w:val="24"/>
              </w:rPr>
              <w:t>2015</w:t>
            </w:r>
          </w:p>
        </w:tc>
        <w:tc>
          <w:tcPr>
            <w:tcW w:w="1134" w:type="dxa"/>
            <w:tcBorders>
              <w:top w:val="single" w:sz="4" w:space="0" w:color="auto"/>
              <w:bottom w:val="thickThinLargeGap" w:sz="24" w:space="0" w:color="auto"/>
            </w:tcBorders>
            <w:shd w:val="clear" w:color="auto" w:fill="auto"/>
          </w:tcPr>
          <w:p w:rsidR="004C6052" w:rsidRPr="00CD4AE3" w:rsidRDefault="004C6052" w:rsidP="008619A6">
            <w:pPr>
              <w:contextualSpacing/>
              <w:jc w:val="center"/>
              <w:rPr>
                <w:b/>
                <w:sz w:val="24"/>
                <w:szCs w:val="24"/>
              </w:rPr>
            </w:pPr>
            <w:r>
              <w:rPr>
                <w:b/>
                <w:sz w:val="24"/>
                <w:szCs w:val="24"/>
              </w:rPr>
              <w:t>2016</w:t>
            </w:r>
          </w:p>
        </w:tc>
        <w:tc>
          <w:tcPr>
            <w:tcW w:w="1134" w:type="dxa"/>
            <w:tcBorders>
              <w:top w:val="single" w:sz="4" w:space="0" w:color="auto"/>
              <w:bottom w:val="thickThinLargeGap" w:sz="24" w:space="0" w:color="auto"/>
            </w:tcBorders>
            <w:shd w:val="clear" w:color="auto" w:fill="auto"/>
          </w:tcPr>
          <w:p w:rsidR="004C6052" w:rsidRPr="00CD4AE3" w:rsidRDefault="004C6052" w:rsidP="008619A6">
            <w:pPr>
              <w:contextualSpacing/>
              <w:jc w:val="center"/>
              <w:rPr>
                <w:b/>
                <w:sz w:val="24"/>
                <w:szCs w:val="24"/>
              </w:rPr>
            </w:pPr>
            <w:r>
              <w:rPr>
                <w:b/>
                <w:sz w:val="24"/>
                <w:szCs w:val="24"/>
              </w:rPr>
              <w:t>2017</w:t>
            </w:r>
          </w:p>
        </w:tc>
      </w:tr>
      <w:tr w:rsidR="004C6052" w:rsidRPr="00CD4AE3" w:rsidTr="007C50D0">
        <w:trPr>
          <w:trHeight w:val="335"/>
        </w:trPr>
        <w:tc>
          <w:tcPr>
            <w:tcW w:w="3544" w:type="dxa"/>
            <w:tcBorders>
              <w:top w:val="thickThinLargeGap" w:sz="24" w:space="0" w:color="auto"/>
            </w:tcBorders>
          </w:tcPr>
          <w:p w:rsidR="004C6052" w:rsidRPr="00CD4AE3" w:rsidRDefault="004C6052" w:rsidP="008619A6">
            <w:pPr>
              <w:contextualSpacing/>
              <w:jc w:val="center"/>
              <w:rPr>
                <w:b/>
                <w:sz w:val="24"/>
                <w:szCs w:val="24"/>
                <w:lang w:val="en-US"/>
              </w:rPr>
            </w:pPr>
            <w:r w:rsidRPr="00CD4AE3">
              <w:rPr>
                <w:b/>
                <w:sz w:val="24"/>
                <w:szCs w:val="24"/>
              </w:rPr>
              <w:t>Уголовное</w:t>
            </w:r>
          </w:p>
        </w:tc>
        <w:tc>
          <w:tcPr>
            <w:tcW w:w="1276" w:type="dxa"/>
            <w:tcBorders>
              <w:top w:val="thickThinLargeGap" w:sz="24" w:space="0" w:color="auto"/>
            </w:tcBorders>
          </w:tcPr>
          <w:p w:rsidR="004C6052" w:rsidRPr="00CB2C03" w:rsidRDefault="004C6052" w:rsidP="008619A6">
            <w:pPr>
              <w:contextualSpacing/>
              <w:jc w:val="center"/>
              <w:rPr>
                <w:i/>
                <w:sz w:val="24"/>
                <w:szCs w:val="24"/>
                <w:highlight w:val="yellow"/>
              </w:rPr>
            </w:pPr>
            <w:r w:rsidRPr="00CB2C03">
              <w:rPr>
                <w:i/>
                <w:sz w:val="24"/>
                <w:szCs w:val="24"/>
              </w:rPr>
              <w:t>9452</w:t>
            </w:r>
          </w:p>
        </w:tc>
        <w:tc>
          <w:tcPr>
            <w:tcW w:w="993" w:type="dxa"/>
            <w:tcBorders>
              <w:top w:val="thickThinLargeGap" w:sz="24" w:space="0" w:color="auto"/>
            </w:tcBorders>
          </w:tcPr>
          <w:p w:rsidR="004C6052" w:rsidRPr="00CB2C03" w:rsidRDefault="004C6052" w:rsidP="008619A6">
            <w:pPr>
              <w:contextualSpacing/>
              <w:jc w:val="center"/>
              <w:rPr>
                <w:i/>
                <w:sz w:val="24"/>
                <w:szCs w:val="24"/>
                <w:highlight w:val="yellow"/>
              </w:rPr>
            </w:pPr>
            <w:r w:rsidRPr="00CB2C03">
              <w:rPr>
                <w:i/>
                <w:sz w:val="24"/>
                <w:szCs w:val="24"/>
              </w:rPr>
              <w:t>8166</w:t>
            </w:r>
          </w:p>
        </w:tc>
        <w:tc>
          <w:tcPr>
            <w:tcW w:w="1275" w:type="dxa"/>
            <w:tcBorders>
              <w:top w:val="thickThinLargeGap" w:sz="24" w:space="0" w:color="auto"/>
            </w:tcBorders>
          </w:tcPr>
          <w:p w:rsidR="004C6052" w:rsidRPr="00513CB5" w:rsidRDefault="004C6052" w:rsidP="008619A6">
            <w:pPr>
              <w:contextualSpacing/>
              <w:jc w:val="center"/>
              <w:rPr>
                <w:i/>
                <w:iCs/>
                <w:sz w:val="24"/>
                <w:szCs w:val="24"/>
              </w:rPr>
            </w:pPr>
            <w:r w:rsidRPr="00513CB5">
              <w:rPr>
                <w:i/>
                <w:iCs/>
                <w:sz w:val="24"/>
                <w:szCs w:val="24"/>
              </w:rPr>
              <w:t>8169</w:t>
            </w:r>
          </w:p>
        </w:tc>
        <w:tc>
          <w:tcPr>
            <w:tcW w:w="1134" w:type="dxa"/>
            <w:tcBorders>
              <w:top w:val="thickThinLargeGap" w:sz="24" w:space="0" w:color="auto"/>
            </w:tcBorders>
          </w:tcPr>
          <w:p w:rsidR="004C6052" w:rsidRPr="00CB2C03" w:rsidRDefault="004C6052" w:rsidP="008619A6">
            <w:pPr>
              <w:contextualSpacing/>
              <w:jc w:val="center"/>
              <w:rPr>
                <w:i/>
                <w:iCs/>
                <w:sz w:val="24"/>
                <w:szCs w:val="24"/>
                <w:highlight w:val="yellow"/>
              </w:rPr>
            </w:pPr>
            <w:r w:rsidRPr="000278EA">
              <w:rPr>
                <w:i/>
                <w:iCs/>
                <w:sz w:val="24"/>
                <w:szCs w:val="24"/>
              </w:rPr>
              <w:t>8938</w:t>
            </w:r>
          </w:p>
        </w:tc>
        <w:tc>
          <w:tcPr>
            <w:tcW w:w="1134" w:type="dxa"/>
            <w:tcBorders>
              <w:top w:val="thickThinLargeGap" w:sz="24" w:space="0" w:color="auto"/>
            </w:tcBorders>
          </w:tcPr>
          <w:p w:rsidR="004C6052" w:rsidRPr="00CB2C03" w:rsidRDefault="004C6052" w:rsidP="008619A6">
            <w:pPr>
              <w:contextualSpacing/>
              <w:jc w:val="center"/>
              <w:rPr>
                <w:i/>
                <w:iCs/>
                <w:sz w:val="24"/>
                <w:szCs w:val="24"/>
                <w:highlight w:val="yellow"/>
              </w:rPr>
            </w:pPr>
            <w:r w:rsidRPr="000278EA">
              <w:rPr>
                <w:i/>
                <w:iCs/>
                <w:sz w:val="24"/>
                <w:szCs w:val="24"/>
              </w:rPr>
              <w:t>9138</w:t>
            </w:r>
          </w:p>
        </w:tc>
      </w:tr>
      <w:tr w:rsidR="004C6052" w:rsidRPr="00CD4AE3" w:rsidTr="007C50D0">
        <w:trPr>
          <w:trHeight w:val="163"/>
        </w:trPr>
        <w:tc>
          <w:tcPr>
            <w:tcW w:w="3544" w:type="dxa"/>
          </w:tcPr>
          <w:p w:rsidR="004C6052" w:rsidRPr="00CD4AE3" w:rsidRDefault="004C6052" w:rsidP="008619A6">
            <w:pPr>
              <w:contextualSpacing/>
              <w:jc w:val="center"/>
              <w:rPr>
                <w:b/>
                <w:sz w:val="24"/>
                <w:szCs w:val="24"/>
                <w:lang w:val="en-US"/>
              </w:rPr>
            </w:pPr>
            <w:r w:rsidRPr="00CD4AE3">
              <w:rPr>
                <w:b/>
                <w:sz w:val="24"/>
                <w:szCs w:val="24"/>
              </w:rPr>
              <w:t>Гражданское</w:t>
            </w:r>
          </w:p>
        </w:tc>
        <w:tc>
          <w:tcPr>
            <w:tcW w:w="1276" w:type="dxa"/>
          </w:tcPr>
          <w:p w:rsidR="004C6052" w:rsidRPr="00CB2C03" w:rsidRDefault="004C6052" w:rsidP="008619A6">
            <w:pPr>
              <w:contextualSpacing/>
              <w:jc w:val="center"/>
              <w:rPr>
                <w:i/>
                <w:sz w:val="24"/>
                <w:szCs w:val="24"/>
                <w:highlight w:val="yellow"/>
              </w:rPr>
            </w:pPr>
            <w:r w:rsidRPr="00CB2C03">
              <w:rPr>
                <w:i/>
                <w:sz w:val="24"/>
                <w:szCs w:val="24"/>
              </w:rPr>
              <w:t>16216</w:t>
            </w:r>
          </w:p>
        </w:tc>
        <w:tc>
          <w:tcPr>
            <w:tcW w:w="993" w:type="dxa"/>
          </w:tcPr>
          <w:p w:rsidR="004C6052" w:rsidRPr="00CB2C03" w:rsidRDefault="004C6052" w:rsidP="008619A6">
            <w:pPr>
              <w:contextualSpacing/>
              <w:jc w:val="center"/>
              <w:rPr>
                <w:i/>
                <w:sz w:val="24"/>
                <w:szCs w:val="24"/>
                <w:highlight w:val="yellow"/>
              </w:rPr>
            </w:pPr>
            <w:r w:rsidRPr="00164F56">
              <w:rPr>
                <w:i/>
                <w:sz w:val="24"/>
                <w:szCs w:val="24"/>
              </w:rPr>
              <w:t>16164</w:t>
            </w:r>
          </w:p>
        </w:tc>
        <w:tc>
          <w:tcPr>
            <w:tcW w:w="1275" w:type="dxa"/>
          </w:tcPr>
          <w:p w:rsidR="004C6052" w:rsidRPr="00513CB5" w:rsidRDefault="004C6052" w:rsidP="008619A6">
            <w:pPr>
              <w:contextualSpacing/>
              <w:jc w:val="center"/>
              <w:rPr>
                <w:i/>
                <w:iCs/>
                <w:sz w:val="24"/>
                <w:szCs w:val="24"/>
              </w:rPr>
            </w:pPr>
            <w:r w:rsidRPr="00513CB5">
              <w:rPr>
                <w:i/>
                <w:iCs/>
                <w:sz w:val="24"/>
                <w:szCs w:val="24"/>
              </w:rPr>
              <w:t>17917</w:t>
            </w:r>
          </w:p>
        </w:tc>
        <w:tc>
          <w:tcPr>
            <w:tcW w:w="1134" w:type="dxa"/>
          </w:tcPr>
          <w:p w:rsidR="004C6052" w:rsidRPr="000278EA" w:rsidRDefault="004C6052" w:rsidP="008619A6">
            <w:pPr>
              <w:contextualSpacing/>
              <w:jc w:val="center"/>
              <w:rPr>
                <w:i/>
                <w:iCs/>
                <w:sz w:val="24"/>
                <w:szCs w:val="24"/>
              </w:rPr>
            </w:pPr>
            <w:r w:rsidRPr="000278EA">
              <w:rPr>
                <w:i/>
                <w:iCs/>
                <w:sz w:val="24"/>
                <w:szCs w:val="24"/>
              </w:rPr>
              <w:t>18075</w:t>
            </w:r>
          </w:p>
        </w:tc>
        <w:tc>
          <w:tcPr>
            <w:tcW w:w="1134" w:type="dxa"/>
          </w:tcPr>
          <w:p w:rsidR="004C6052" w:rsidRPr="000278EA" w:rsidRDefault="004C6052" w:rsidP="008619A6">
            <w:pPr>
              <w:tabs>
                <w:tab w:val="center" w:pos="459"/>
              </w:tabs>
              <w:contextualSpacing/>
              <w:jc w:val="center"/>
              <w:rPr>
                <w:i/>
                <w:iCs/>
                <w:sz w:val="24"/>
                <w:szCs w:val="24"/>
              </w:rPr>
            </w:pPr>
            <w:r w:rsidRPr="000278EA">
              <w:rPr>
                <w:i/>
                <w:iCs/>
                <w:sz w:val="24"/>
                <w:szCs w:val="24"/>
              </w:rPr>
              <w:t>1692</w:t>
            </w:r>
            <w:r>
              <w:rPr>
                <w:i/>
                <w:iCs/>
                <w:sz w:val="24"/>
                <w:szCs w:val="24"/>
              </w:rPr>
              <w:t>9</w:t>
            </w:r>
          </w:p>
        </w:tc>
      </w:tr>
      <w:tr w:rsidR="004C6052" w:rsidRPr="00CD4AE3" w:rsidTr="007C50D0">
        <w:trPr>
          <w:trHeight w:val="77"/>
        </w:trPr>
        <w:tc>
          <w:tcPr>
            <w:tcW w:w="3544" w:type="dxa"/>
          </w:tcPr>
          <w:p w:rsidR="004C6052" w:rsidRPr="00CD4AE3" w:rsidRDefault="004C6052" w:rsidP="008619A6">
            <w:pPr>
              <w:contextualSpacing/>
              <w:jc w:val="center"/>
              <w:rPr>
                <w:b/>
                <w:sz w:val="24"/>
                <w:szCs w:val="24"/>
                <w:lang w:val="en-US"/>
              </w:rPr>
            </w:pPr>
            <w:r w:rsidRPr="00CD4AE3">
              <w:rPr>
                <w:b/>
                <w:sz w:val="24"/>
                <w:szCs w:val="24"/>
              </w:rPr>
              <w:t>Административное</w:t>
            </w:r>
          </w:p>
        </w:tc>
        <w:tc>
          <w:tcPr>
            <w:tcW w:w="1276" w:type="dxa"/>
          </w:tcPr>
          <w:p w:rsidR="004C6052" w:rsidRPr="00CB2C03" w:rsidRDefault="004C6052" w:rsidP="008619A6">
            <w:pPr>
              <w:contextualSpacing/>
              <w:jc w:val="center"/>
              <w:rPr>
                <w:i/>
                <w:sz w:val="24"/>
                <w:szCs w:val="24"/>
              </w:rPr>
            </w:pPr>
            <w:r w:rsidRPr="00CB2C03">
              <w:rPr>
                <w:i/>
                <w:sz w:val="24"/>
                <w:szCs w:val="24"/>
              </w:rPr>
              <w:t>-</w:t>
            </w:r>
          </w:p>
        </w:tc>
        <w:tc>
          <w:tcPr>
            <w:tcW w:w="993" w:type="dxa"/>
          </w:tcPr>
          <w:p w:rsidR="004C6052" w:rsidRPr="00CB2C03" w:rsidRDefault="004C6052" w:rsidP="008619A6">
            <w:pPr>
              <w:contextualSpacing/>
              <w:jc w:val="center"/>
              <w:rPr>
                <w:i/>
                <w:sz w:val="24"/>
                <w:szCs w:val="24"/>
              </w:rPr>
            </w:pPr>
            <w:r w:rsidRPr="00CB2C03">
              <w:rPr>
                <w:i/>
                <w:sz w:val="24"/>
                <w:szCs w:val="24"/>
              </w:rPr>
              <w:t>-</w:t>
            </w:r>
          </w:p>
        </w:tc>
        <w:tc>
          <w:tcPr>
            <w:tcW w:w="1275" w:type="dxa"/>
          </w:tcPr>
          <w:p w:rsidR="004C6052" w:rsidRPr="00CB2C03" w:rsidRDefault="004C6052" w:rsidP="008619A6">
            <w:pPr>
              <w:contextualSpacing/>
              <w:jc w:val="center"/>
              <w:rPr>
                <w:i/>
                <w:iCs/>
                <w:sz w:val="24"/>
                <w:szCs w:val="24"/>
              </w:rPr>
            </w:pPr>
            <w:r w:rsidRPr="00CB2C03">
              <w:rPr>
                <w:i/>
                <w:iCs/>
                <w:sz w:val="24"/>
                <w:szCs w:val="24"/>
              </w:rPr>
              <w:t>-</w:t>
            </w:r>
          </w:p>
        </w:tc>
        <w:tc>
          <w:tcPr>
            <w:tcW w:w="1134" w:type="dxa"/>
          </w:tcPr>
          <w:p w:rsidR="004C6052" w:rsidRPr="000278EA" w:rsidRDefault="004C6052" w:rsidP="008619A6">
            <w:pPr>
              <w:contextualSpacing/>
              <w:jc w:val="center"/>
              <w:rPr>
                <w:i/>
                <w:iCs/>
                <w:sz w:val="24"/>
                <w:szCs w:val="24"/>
              </w:rPr>
            </w:pPr>
            <w:r w:rsidRPr="000278EA">
              <w:rPr>
                <w:i/>
                <w:iCs/>
                <w:sz w:val="24"/>
                <w:szCs w:val="24"/>
              </w:rPr>
              <w:t>2745</w:t>
            </w:r>
          </w:p>
        </w:tc>
        <w:tc>
          <w:tcPr>
            <w:tcW w:w="1134" w:type="dxa"/>
          </w:tcPr>
          <w:p w:rsidR="004C6052" w:rsidRPr="00CB2C03" w:rsidRDefault="004C6052" w:rsidP="008619A6">
            <w:pPr>
              <w:contextualSpacing/>
              <w:jc w:val="center"/>
              <w:rPr>
                <w:i/>
                <w:iCs/>
                <w:sz w:val="24"/>
                <w:szCs w:val="24"/>
                <w:highlight w:val="yellow"/>
              </w:rPr>
            </w:pPr>
            <w:r w:rsidRPr="000278EA">
              <w:rPr>
                <w:i/>
                <w:iCs/>
                <w:sz w:val="24"/>
                <w:szCs w:val="24"/>
              </w:rPr>
              <w:t>2127</w:t>
            </w:r>
          </w:p>
        </w:tc>
      </w:tr>
      <w:tr w:rsidR="004C6052" w:rsidRPr="00CD4AE3" w:rsidTr="007C50D0">
        <w:trPr>
          <w:trHeight w:val="77"/>
        </w:trPr>
        <w:tc>
          <w:tcPr>
            <w:tcW w:w="3544" w:type="dxa"/>
          </w:tcPr>
          <w:p w:rsidR="004C6052" w:rsidRPr="00CD4AE3" w:rsidRDefault="004C6052" w:rsidP="008619A6">
            <w:pPr>
              <w:contextualSpacing/>
              <w:jc w:val="center"/>
              <w:rPr>
                <w:b/>
                <w:sz w:val="24"/>
                <w:szCs w:val="24"/>
              </w:rPr>
            </w:pPr>
            <w:r>
              <w:rPr>
                <w:b/>
                <w:sz w:val="24"/>
                <w:szCs w:val="24"/>
              </w:rPr>
              <w:t>Производство по делам об административных правонар</w:t>
            </w:r>
            <w:r>
              <w:rPr>
                <w:b/>
                <w:sz w:val="24"/>
                <w:szCs w:val="24"/>
              </w:rPr>
              <w:t>у</w:t>
            </w:r>
            <w:r>
              <w:rPr>
                <w:b/>
                <w:sz w:val="24"/>
                <w:szCs w:val="24"/>
              </w:rPr>
              <w:t>шениях</w:t>
            </w:r>
          </w:p>
        </w:tc>
        <w:tc>
          <w:tcPr>
            <w:tcW w:w="1276" w:type="dxa"/>
          </w:tcPr>
          <w:p w:rsidR="004C6052" w:rsidRPr="00CB2C03" w:rsidRDefault="004C6052" w:rsidP="008619A6">
            <w:pPr>
              <w:contextualSpacing/>
              <w:jc w:val="center"/>
              <w:rPr>
                <w:i/>
                <w:sz w:val="24"/>
                <w:szCs w:val="24"/>
              </w:rPr>
            </w:pPr>
            <w:r w:rsidRPr="00CB2C03">
              <w:rPr>
                <w:i/>
                <w:sz w:val="24"/>
                <w:szCs w:val="24"/>
              </w:rPr>
              <w:t>2537</w:t>
            </w:r>
          </w:p>
        </w:tc>
        <w:tc>
          <w:tcPr>
            <w:tcW w:w="993" w:type="dxa"/>
          </w:tcPr>
          <w:p w:rsidR="004C6052" w:rsidRPr="00CB2C03" w:rsidRDefault="004C6052" w:rsidP="008619A6">
            <w:pPr>
              <w:contextualSpacing/>
              <w:jc w:val="center"/>
              <w:rPr>
                <w:i/>
                <w:sz w:val="24"/>
                <w:szCs w:val="24"/>
              </w:rPr>
            </w:pPr>
            <w:r w:rsidRPr="00CB2C03">
              <w:rPr>
                <w:i/>
                <w:sz w:val="24"/>
                <w:szCs w:val="24"/>
              </w:rPr>
              <w:t>3474</w:t>
            </w:r>
          </w:p>
        </w:tc>
        <w:tc>
          <w:tcPr>
            <w:tcW w:w="1275" w:type="dxa"/>
          </w:tcPr>
          <w:p w:rsidR="004C6052" w:rsidRPr="00CB2C03" w:rsidRDefault="004C6052" w:rsidP="008619A6">
            <w:pPr>
              <w:contextualSpacing/>
              <w:jc w:val="center"/>
              <w:rPr>
                <w:i/>
                <w:iCs/>
                <w:sz w:val="24"/>
                <w:szCs w:val="24"/>
              </w:rPr>
            </w:pPr>
            <w:r w:rsidRPr="00CB2C03">
              <w:rPr>
                <w:i/>
                <w:iCs/>
                <w:sz w:val="24"/>
                <w:szCs w:val="24"/>
              </w:rPr>
              <w:t>3932</w:t>
            </w:r>
          </w:p>
        </w:tc>
        <w:tc>
          <w:tcPr>
            <w:tcW w:w="1134" w:type="dxa"/>
          </w:tcPr>
          <w:p w:rsidR="004C6052" w:rsidRPr="00CB2C03" w:rsidRDefault="004C6052" w:rsidP="008619A6">
            <w:pPr>
              <w:contextualSpacing/>
              <w:jc w:val="center"/>
              <w:rPr>
                <w:i/>
                <w:iCs/>
                <w:sz w:val="24"/>
                <w:szCs w:val="24"/>
              </w:rPr>
            </w:pPr>
            <w:r w:rsidRPr="00CB2C03">
              <w:rPr>
                <w:i/>
                <w:iCs/>
                <w:sz w:val="24"/>
                <w:szCs w:val="24"/>
              </w:rPr>
              <w:t>4612</w:t>
            </w:r>
          </w:p>
        </w:tc>
        <w:tc>
          <w:tcPr>
            <w:tcW w:w="1134" w:type="dxa"/>
          </w:tcPr>
          <w:p w:rsidR="004C6052" w:rsidRPr="00CB2C03" w:rsidRDefault="004C6052" w:rsidP="008619A6">
            <w:pPr>
              <w:contextualSpacing/>
              <w:jc w:val="center"/>
              <w:rPr>
                <w:i/>
                <w:iCs/>
                <w:sz w:val="24"/>
                <w:szCs w:val="24"/>
              </w:rPr>
            </w:pPr>
            <w:r w:rsidRPr="00CB2C03">
              <w:rPr>
                <w:i/>
                <w:iCs/>
                <w:sz w:val="24"/>
                <w:szCs w:val="24"/>
              </w:rPr>
              <w:t>4210</w:t>
            </w:r>
          </w:p>
        </w:tc>
      </w:tr>
    </w:tbl>
    <w:p w:rsidR="004C6052" w:rsidRDefault="004C6052" w:rsidP="008619A6">
      <w:pPr>
        <w:ind w:firstLine="902"/>
        <w:contextualSpacing/>
        <w:jc w:val="both"/>
        <w:rPr>
          <w:sz w:val="28"/>
          <w:szCs w:val="28"/>
        </w:rPr>
      </w:pPr>
      <w:r w:rsidRPr="00CC435E">
        <w:rPr>
          <w:sz w:val="28"/>
          <w:szCs w:val="28"/>
        </w:rPr>
        <w:t xml:space="preserve">Данные о нагрузке при рассмотрении дел в </w:t>
      </w:r>
      <w:r w:rsidRPr="00966450">
        <w:rPr>
          <w:sz w:val="28"/>
          <w:szCs w:val="28"/>
        </w:rPr>
        <w:t>1</w:t>
      </w:r>
      <w:r w:rsidRPr="00CC435E">
        <w:rPr>
          <w:sz w:val="28"/>
          <w:szCs w:val="28"/>
        </w:rPr>
        <w:t xml:space="preserve"> и 2 инстанции представл</w:t>
      </w:r>
      <w:r w:rsidRPr="00CC435E">
        <w:rPr>
          <w:sz w:val="28"/>
          <w:szCs w:val="28"/>
        </w:rPr>
        <w:t>е</w:t>
      </w:r>
      <w:r w:rsidRPr="00CC435E">
        <w:rPr>
          <w:sz w:val="28"/>
          <w:szCs w:val="28"/>
        </w:rPr>
        <w:t>ны в Таблице 3.</w:t>
      </w:r>
    </w:p>
    <w:p w:rsidR="004C6052" w:rsidRPr="004C6052" w:rsidRDefault="004C6052" w:rsidP="008619A6">
      <w:pPr>
        <w:ind w:firstLine="900"/>
        <w:contextualSpacing/>
        <w:jc w:val="center"/>
        <w:rPr>
          <w:sz w:val="24"/>
          <w:szCs w:val="24"/>
        </w:rPr>
      </w:pPr>
      <w:r w:rsidRPr="005F18CB">
        <w:rPr>
          <w:sz w:val="24"/>
          <w:szCs w:val="24"/>
        </w:rPr>
        <w:t xml:space="preserve">                                                                                                                  </w:t>
      </w:r>
      <w:r>
        <w:rPr>
          <w:sz w:val="24"/>
          <w:szCs w:val="24"/>
        </w:rPr>
        <w:t xml:space="preserve">   </w:t>
      </w:r>
      <w:r w:rsidRPr="005F18CB">
        <w:rPr>
          <w:sz w:val="24"/>
          <w:szCs w:val="24"/>
        </w:rPr>
        <w:t xml:space="preserve">      Та</w:t>
      </w:r>
      <w:r w:rsidRPr="005F18CB">
        <w:rPr>
          <w:sz w:val="24"/>
          <w:szCs w:val="24"/>
        </w:rPr>
        <w:t>б</w:t>
      </w:r>
      <w:r>
        <w:rPr>
          <w:sz w:val="24"/>
          <w:szCs w:val="24"/>
        </w:rPr>
        <w:t>лица 3</w:t>
      </w:r>
    </w:p>
    <w:tbl>
      <w:tblPr>
        <w:tblpPr w:leftFromText="180" w:rightFromText="180" w:vertAnchor="text" w:horzAnchor="margin" w:tblpX="250" w:tblpY="166"/>
        <w:tblW w:w="9322"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3526"/>
        <w:gridCol w:w="1241"/>
        <w:gridCol w:w="992"/>
        <w:gridCol w:w="1134"/>
        <w:gridCol w:w="1134"/>
        <w:gridCol w:w="1295"/>
      </w:tblGrid>
      <w:tr w:rsidR="004C6052" w:rsidRPr="004C6052" w:rsidTr="004C6052">
        <w:trPr>
          <w:trHeight w:val="557"/>
        </w:trPr>
        <w:tc>
          <w:tcPr>
            <w:tcW w:w="9322" w:type="dxa"/>
            <w:gridSpan w:val="6"/>
            <w:tcBorders>
              <w:top w:val="double" w:sz="4" w:space="0" w:color="auto"/>
              <w:bottom w:val="single" w:sz="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Нагрузка при рассмотрении дел в 1 и 2 инстанции за 12 месяцев</w:t>
            </w:r>
          </w:p>
        </w:tc>
      </w:tr>
      <w:tr w:rsidR="004C6052" w:rsidRPr="004C6052" w:rsidTr="004C6052">
        <w:tc>
          <w:tcPr>
            <w:tcW w:w="3526"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sz w:val="24"/>
                <w:szCs w:val="24"/>
              </w:rPr>
            </w:pPr>
            <w:r w:rsidRPr="004C6052">
              <w:rPr>
                <w:sz w:val="24"/>
                <w:szCs w:val="24"/>
              </w:rPr>
              <w:t>Судопроизводство</w:t>
            </w:r>
          </w:p>
        </w:tc>
        <w:tc>
          <w:tcPr>
            <w:tcW w:w="1241"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2013</w:t>
            </w:r>
          </w:p>
        </w:tc>
        <w:tc>
          <w:tcPr>
            <w:tcW w:w="992"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2014</w:t>
            </w:r>
          </w:p>
        </w:tc>
        <w:tc>
          <w:tcPr>
            <w:tcW w:w="1134"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2015</w:t>
            </w:r>
          </w:p>
        </w:tc>
        <w:tc>
          <w:tcPr>
            <w:tcW w:w="1134"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2016</w:t>
            </w:r>
          </w:p>
        </w:tc>
        <w:tc>
          <w:tcPr>
            <w:tcW w:w="1295"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2017</w:t>
            </w:r>
          </w:p>
        </w:tc>
      </w:tr>
      <w:tr w:rsidR="004C6052" w:rsidRPr="004C6052" w:rsidTr="004C6052">
        <w:trPr>
          <w:trHeight w:val="296"/>
        </w:trPr>
        <w:tc>
          <w:tcPr>
            <w:tcW w:w="3526" w:type="dxa"/>
          </w:tcPr>
          <w:p w:rsidR="004C6052" w:rsidRPr="004C6052" w:rsidRDefault="004C6052" w:rsidP="008619A6">
            <w:pPr>
              <w:contextualSpacing/>
              <w:jc w:val="center"/>
              <w:rPr>
                <w:b/>
                <w:sz w:val="24"/>
                <w:szCs w:val="24"/>
              </w:rPr>
            </w:pPr>
            <w:r w:rsidRPr="004C6052">
              <w:rPr>
                <w:b/>
                <w:sz w:val="24"/>
                <w:szCs w:val="24"/>
              </w:rPr>
              <w:t>Уголовное</w:t>
            </w:r>
          </w:p>
        </w:tc>
        <w:tc>
          <w:tcPr>
            <w:tcW w:w="1241" w:type="dxa"/>
          </w:tcPr>
          <w:p w:rsidR="004C6052" w:rsidRPr="004C6052" w:rsidRDefault="004C6052" w:rsidP="008619A6">
            <w:pPr>
              <w:contextualSpacing/>
              <w:jc w:val="center"/>
              <w:rPr>
                <w:i/>
                <w:iCs/>
                <w:sz w:val="24"/>
                <w:szCs w:val="24"/>
              </w:rPr>
            </w:pPr>
            <w:r w:rsidRPr="004C6052">
              <w:rPr>
                <w:i/>
                <w:iCs/>
                <w:sz w:val="24"/>
                <w:szCs w:val="24"/>
              </w:rPr>
              <w:t>6,4</w:t>
            </w:r>
          </w:p>
        </w:tc>
        <w:tc>
          <w:tcPr>
            <w:tcW w:w="992" w:type="dxa"/>
          </w:tcPr>
          <w:p w:rsidR="004C6052" w:rsidRPr="004C6052" w:rsidRDefault="004C6052" w:rsidP="008619A6">
            <w:pPr>
              <w:contextualSpacing/>
              <w:jc w:val="center"/>
              <w:rPr>
                <w:i/>
                <w:iCs/>
                <w:sz w:val="24"/>
                <w:szCs w:val="24"/>
              </w:rPr>
            </w:pPr>
            <w:r w:rsidRPr="004C6052">
              <w:rPr>
                <w:i/>
                <w:iCs/>
                <w:sz w:val="24"/>
                <w:szCs w:val="24"/>
              </w:rPr>
              <w:t>5,5</w:t>
            </w:r>
          </w:p>
        </w:tc>
        <w:tc>
          <w:tcPr>
            <w:tcW w:w="1134" w:type="dxa"/>
          </w:tcPr>
          <w:p w:rsidR="004C6052" w:rsidRPr="004C6052" w:rsidRDefault="004C6052" w:rsidP="008619A6">
            <w:pPr>
              <w:contextualSpacing/>
              <w:jc w:val="center"/>
              <w:rPr>
                <w:i/>
                <w:iCs/>
                <w:sz w:val="24"/>
                <w:szCs w:val="24"/>
              </w:rPr>
            </w:pPr>
            <w:r w:rsidRPr="004C6052">
              <w:rPr>
                <w:i/>
                <w:iCs/>
                <w:sz w:val="24"/>
                <w:szCs w:val="24"/>
              </w:rPr>
              <w:t>5,5</w:t>
            </w:r>
          </w:p>
        </w:tc>
        <w:tc>
          <w:tcPr>
            <w:tcW w:w="1134" w:type="dxa"/>
          </w:tcPr>
          <w:p w:rsidR="004C6052" w:rsidRPr="004C6052" w:rsidRDefault="004C6052" w:rsidP="008619A6">
            <w:pPr>
              <w:contextualSpacing/>
              <w:jc w:val="center"/>
              <w:rPr>
                <w:i/>
                <w:iCs/>
                <w:sz w:val="24"/>
                <w:szCs w:val="24"/>
              </w:rPr>
            </w:pPr>
            <w:r w:rsidRPr="004C6052">
              <w:rPr>
                <w:i/>
                <w:iCs/>
                <w:sz w:val="24"/>
                <w:szCs w:val="24"/>
              </w:rPr>
              <w:t>6</w:t>
            </w:r>
          </w:p>
        </w:tc>
        <w:tc>
          <w:tcPr>
            <w:tcW w:w="1295" w:type="dxa"/>
          </w:tcPr>
          <w:p w:rsidR="004C6052" w:rsidRPr="004C6052" w:rsidRDefault="004C6052" w:rsidP="008619A6">
            <w:pPr>
              <w:contextualSpacing/>
              <w:jc w:val="center"/>
              <w:rPr>
                <w:i/>
                <w:iCs/>
                <w:sz w:val="24"/>
                <w:szCs w:val="24"/>
              </w:rPr>
            </w:pPr>
            <w:r w:rsidRPr="004C6052">
              <w:rPr>
                <w:i/>
                <w:iCs/>
                <w:sz w:val="24"/>
                <w:szCs w:val="24"/>
              </w:rPr>
              <w:t>6,1</w:t>
            </w:r>
          </w:p>
        </w:tc>
      </w:tr>
      <w:tr w:rsidR="004C6052" w:rsidRPr="004C6052" w:rsidTr="004C6052">
        <w:trPr>
          <w:trHeight w:val="302"/>
        </w:trPr>
        <w:tc>
          <w:tcPr>
            <w:tcW w:w="3526" w:type="dxa"/>
          </w:tcPr>
          <w:p w:rsidR="004C6052" w:rsidRPr="004C6052" w:rsidRDefault="004C6052" w:rsidP="008619A6">
            <w:pPr>
              <w:contextualSpacing/>
              <w:jc w:val="center"/>
              <w:rPr>
                <w:b/>
                <w:sz w:val="24"/>
                <w:szCs w:val="24"/>
              </w:rPr>
            </w:pPr>
            <w:r w:rsidRPr="004C6052">
              <w:rPr>
                <w:b/>
                <w:sz w:val="24"/>
                <w:szCs w:val="24"/>
              </w:rPr>
              <w:t>Гражданское</w:t>
            </w:r>
          </w:p>
        </w:tc>
        <w:tc>
          <w:tcPr>
            <w:tcW w:w="1241" w:type="dxa"/>
          </w:tcPr>
          <w:p w:rsidR="004C6052" w:rsidRPr="004C6052" w:rsidRDefault="004C6052" w:rsidP="008619A6">
            <w:pPr>
              <w:contextualSpacing/>
              <w:jc w:val="center"/>
              <w:rPr>
                <w:i/>
                <w:iCs/>
                <w:sz w:val="24"/>
                <w:szCs w:val="24"/>
              </w:rPr>
            </w:pPr>
            <w:r w:rsidRPr="004C6052">
              <w:rPr>
                <w:i/>
                <w:iCs/>
                <w:sz w:val="24"/>
                <w:szCs w:val="24"/>
              </w:rPr>
              <w:t>10,8</w:t>
            </w:r>
          </w:p>
        </w:tc>
        <w:tc>
          <w:tcPr>
            <w:tcW w:w="992" w:type="dxa"/>
          </w:tcPr>
          <w:p w:rsidR="004C6052" w:rsidRPr="004C6052" w:rsidRDefault="004C6052" w:rsidP="008619A6">
            <w:pPr>
              <w:contextualSpacing/>
              <w:jc w:val="center"/>
              <w:rPr>
                <w:i/>
                <w:iCs/>
                <w:sz w:val="24"/>
                <w:szCs w:val="24"/>
              </w:rPr>
            </w:pPr>
            <w:r w:rsidRPr="004C6052">
              <w:rPr>
                <w:i/>
                <w:iCs/>
                <w:sz w:val="24"/>
                <w:szCs w:val="24"/>
              </w:rPr>
              <w:t>10,8</w:t>
            </w:r>
          </w:p>
        </w:tc>
        <w:tc>
          <w:tcPr>
            <w:tcW w:w="1134" w:type="dxa"/>
          </w:tcPr>
          <w:p w:rsidR="004C6052" w:rsidRPr="004C6052" w:rsidRDefault="004C6052" w:rsidP="008619A6">
            <w:pPr>
              <w:contextualSpacing/>
              <w:jc w:val="center"/>
              <w:rPr>
                <w:i/>
                <w:iCs/>
                <w:sz w:val="24"/>
                <w:szCs w:val="24"/>
              </w:rPr>
            </w:pPr>
            <w:r w:rsidRPr="004C6052">
              <w:rPr>
                <w:i/>
                <w:iCs/>
                <w:sz w:val="24"/>
                <w:szCs w:val="24"/>
              </w:rPr>
              <w:t>12</w:t>
            </w:r>
          </w:p>
        </w:tc>
        <w:tc>
          <w:tcPr>
            <w:tcW w:w="1134" w:type="dxa"/>
          </w:tcPr>
          <w:p w:rsidR="004C6052" w:rsidRPr="004C6052" w:rsidRDefault="004C6052" w:rsidP="008619A6">
            <w:pPr>
              <w:contextualSpacing/>
              <w:jc w:val="center"/>
              <w:rPr>
                <w:i/>
                <w:iCs/>
                <w:sz w:val="24"/>
                <w:szCs w:val="24"/>
              </w:rPr>
            </w:pPr>
            <w:r w:rsidRPr="004C6052">
              <w:rPr>
                <w:i/>
                <w:iCs/>
                <w:sz w:val="24"/>
                <w:szCs w:val="24"/>
              </w:rPr>
              <w:t>12</w:t>
            </w:r>
          </w:p>
        </w:tc>
        <w:tc>
          <w:tcPr>
            <w:tcW w:w="1295" w:type="dxa"/>
          </w:tcPr>
          <w:p w:rsidR="004C6052" w:rsidRPr="004C6052" w:rsidRDefault="004C6052" w:rsidP="008619A6">
            <w:pPr>
              <w:contextualSpacing/>
              <w:jc w:val="center"/>
              <w:rPr>
                <w:i/>
                <w:iCs/>
                <w:sz w:val="24"/>
                <w:szCs w:val="24"/>
              </w:rPr>
            </w:pPr>
            <w:r w:rsidRPr="004C6052">
              <w:rPr>
                <w:i/>
                <w:iCs/>
                <w:sz w:val="24"/>
                <w:szCs w:val="24"/>
              </w:rPr>
              <w:t>11,2</w:t>
            </w:r>
          </w:p>
        </w:tc>
      </w:tr>
      <w:tr w:rsidR="004C6052" w:rsidRPr="004C6052" w:rsidTr="004C6052">
        <w:trPr>
          <w:trHeight w:val="308"/>
        </w:trPr>
        <w:tc>
          <w:tcPr>
            <w:tcW w:w="3526" w:type="dxa"/>
          </w:tcPr>
          <w:p w:rsidR="004C6052" w:rsidRPr="004C6052" w:rsidRDefault="004C6052" w:rsidP="008619A6">
            <w:pPr>
              <w:contextualSpacing/>
              <w:jc w:val="center"/>
              <w:rPr>
                <w:b/>
                <w:sz w:val="24"/>
                <w:szCs w:val="24"/>
              </w:rPr>
            </w:pPr>
            <w:r w:rsidRPr="004C6052">
              <w:rPr>
                <w:b/>
                <w:sz w:val="24"/>
                <w:szCs w:val="24"/>
              </w:rPr>
              <w:t>Административное</w:t>
            </w:r>
          </w:p>
        </w:tc>
        <w:tc>
          <w:tcPr>
            <w:tcW w:w="1241" w:type="dxa"/>
          </w:tcPr>
          <w:p w:rsidR="004C6052" w:rsidRPr="004C6052" w:rsidRDefault="004C6052" w:rsidP="008619A6">
            <w:pPr>
              <w:contextualSpacing/>
              <w:jc w:val="center"/>
              <w:rPr>
                <w:i/>
                <w:iCs/>
                <w:sz w:val="24"/>
                <w:szCs w:val="24"/>
              </w:rPr>
            </w:pPr>
            <w:r w:rsidRPr="004C6052">
              <w:rPr>
                <w:i/>
                <w:iCs/>
                <w:sz w:val="24"/>
                <w:szCs w:val="24"/>
              </w:rPr>
              <w:t>-</w:t>
            </w:r>
          </w:p>
        </w:tc>
        <w:tc>
          <w:tcPr>
            <w:tcW w:w="992" w:type="dxa"/>
          </w:tcPr>
          <w:p w:rsidR="004C6052" w:rsidRPr="004C6052" w:rsidRDefault="004C6052" w:rsidP="008619A6">
            <w:pPr>
              <w:contextualSpacing/>
              <w:jc w:val="center"/>
              <w:rPr>
                <w:i/>
                <w:iCs/>
                <w:sz w:val="24"/>
                <w:szCs w:val="24"/>
              </w:rPr>
            </w:pPr>
            <w:r w:rsidRPr="004C6052">
              <w:rPr>
                <w:i/>
                <w:iCs/>
                <w:sz w:val="24"/>
                <w:szCs w:val="24"/>
              </w:rPr>
              <w:t>-</w:t>
            </w:r>
          </w:p>
        </w:tc>
        <w:tc>
          <w:tcPr>
            <w:tcW w:w="1134" w:type="dxa"/>
          </w:tcPr>
          <w:p w:rsidR="004C6052" w:rsidRPr="004C6052" w:rsidRDefault="004C6052" w:rsidP="008619A6">
            <w:pPr>
              <w:contextualSpacing/>
              <w:jc w:val="center"/>
              <w:rPr>
                <w:i/>
                <w:iCs/>
                <w:sz w:val="24"/>
                <w:szCs w:val="24"/>
              </w:rPr>
            </w:pPr>
            <w:r w:rsidRPr="004C6052">
              <w:rPr>
                <w:i/>
                <w:iCs/>
                <w:sz w:val="24"/>
                <w:szCs w:val="24"/>
              </w:rPr>
              <w:t>-</w:t>
            </w:r>
          </w:p>
        </w:tc>
        <w:tc>
          <w:tcPr>
            <w:tcW w:w="1134" w:type="dxa"/>
          </w:tcPr>
          <w:p w:rsidR="004C6052" w:rsidRPr="004C6052" w:rsidRDefault="004C6052" w:rsidP="008619A6">
            <w:pPr>
              <w:contextualSpacing/>
              <w:jc w:val="center"/>
              <w:rPr>
                <w:i/>
                <w:iCs/>
                <w:sz w:val="24"/>
                <w:szCs w:val="24"/>
              </w:rPr>
            </w:pPr>
            <w:r w:rsidRPr="004C6052">
              <w:rPr>
                <w:i/>
                <w:iCs/>
                <w:sz w:val="24"/>
                <w:szCs w:val="24"/>
              </w:rPr>
              <w:t>2</w:t>
            </w:r>
          </w:p>
        </w:tc>
        <w:tc>
          <w:tcPr>
            <w:tcW w:w="1295" w:type="dxa"/>
          </w:tcPr>
          <w:p w:rsidR="004C6052" w:rsidRPr="004C6052" w:rsidRDefault="004C6052" w:rsidP="008619A6">
            <w:pPr>
              <w:contextualSpacing/>
              <w:jc w:val="center"/>
              <w:rPr>
                <w:i/>
                <w:iCs/>
                <w:sz w:val="24"/>
                <w:szCs w:val="24"/>
              </w:rPr>
            </w:pPr>
            <w:r w:rsidRPr="004C6052">
              <w:rPr>
                <w:i/>
                <w:iCs/>
                <w:sz w:val="24"/>
                <w:szCs w:val="24"/>
              </w:rPr>
              <w:t>1,4</w:t>
            </w:r>
          </w:p>
        </w:tc>
      </w:tr>
      <w:tr w:rsidR="004C6052" w:rsidRPr="004C6052" w:rsidTr="004C6052">
        <w:trPr>
          <w:trHeight w:val="308"/>
        </w:trPr>
        <w:tc>
          <w:tcPr>
            <w:tcW w:w="3526" w:type="dxa"/>
          </w:tcPr>
          <w:p w:rsidR="004C6052" w:rsidRPr="004C6052" w:rsidRDefault="004C6052" w:rsidP="008619A6">
            <w:pPr>
              <w:contextualSpacing/>
              <w:jc w:val="center"/>
              <w:rPr>
                <w:b/>
                <w:sz w:val="24"/>
                <w:szCs w:val="24"/>
              </w:rPr>
            </w:pPr>
            <w:r w:rsidRPr="004C6052">
              <w:rPr>
                <w:b/>
                <w:sz w:val="24"/>
                <w:szCs w:val="24"/>
              </w:rPr>
              <w:t>Производство по делам об административных правонарушениях</w:t>
            </w:r>
          </w:p>
        </w:tc>
        <w:tc>
          <w:tcPr>
            <w:tcW w:w="1241" w:type="dxa"/>
          </w:tcPr>
          <w:p w:rsidR="004C6052" w:rsidRPr="004C6052" w:rsidRDefault="004C6052" w:rsidP="008619A6">
            <w:pPr>
              <w:contextualSpacing/>
              <w:jc w:val="center"/>
              <w:rPr>
                <w:i/>
                <w:iCs/>
                <w:sz w:val="24"/>
                <w:szCs w:val="24"/>
              </w:rPr>
            </w:pPr>
            <w:r w:rsidRPr="004C6052">
              <w:rPr>
                <w:i/>
                <w:iCs/>
                <w:sz w:val="24"/>
                <w:szCs w:val="24"/>
              </w:rPr>
              <w:t>1,7</w:t>
            </w:r>
          </w:p>
        </w:tc>
        <w:tc>
          <w:tcPr>
            <w:tcW w:w="992" w:type="dxa"/>
          </w:tcPr>
          <w:p w:rsidR="004C6052" w:rsidRPr="004C6052" w:rsidRDefault="004C6052" w:rsidP="008619A6">
            <w:pPr>
              <w:contextualSpacing/>
              <w:jc w:val="center"/>
              <w:rPr>
                <w:i/>
                <w:iCs/>
                <w:sz w:val="24"/>
                <w:szCs w:val="24"/>
              </w:rPr>
            </w:pPr>
            <w:r w:rsidRPr="004C6052">
              <w:rPr>
                <w:i/>
                <w:iCs/>
                <w:sz w:val="24"/>
                <w:szCs w:val="24"/>
              </w:rPr>
              <w:t>2,3</w:t>
            </w:r>
          </w:p>
        </w:tc>
        <w:tc>
          <w:tcPr>
            <w:tcW w:w="1134" w:type="dxa"/>
          </w:tcPr>
          <w:p w:rsidR="004C6052" w:rsidRPr="004C6052" w:rsidRDefault="004C6052" w:rsidP="008619A6">
            <w:pPr>
              <w:contextualSpacing/>
              <w:jc w:val="center"/>
              <w:rPr>
                <w:i/>
                <w:iCs/>
                <w:sz w:val="24"/>
                <w:szCs w:val="24"/>
              </w:rPr>
            </w:pPr>
            <w:r w:rsidRPr="004C6052">
              <w:rPr>
                <w:i/>
                <w:iCs/>
                <w:sz w:val="24"/>
                <w:szCs w:val="24"/>
              </w:rPr>
              <w:t>2,6</w:t>
            </w:r>
          </w:p>
        </w:tc>
        <w:tc>
          <w:tcPr>
            <w:tcW w:w="1134" w:type="dxa"/>
          </w:tcPr>
          <w:p w:rsidR="004C6052" w:rsidRPr="004C6052" w:rsidRDefault="004C6052" w:rsidP="008619A6">
            <w:pPr>
              <w:contextualSpacing/>
              <w:jc w:val="center"/>
              <w:rPr>
                <w:i/>
                <w:iCs/>
                <w:sz w:val="24"/>
                <w:szCs w:val="24"/>
              </w:rPr>
            </w:pPr>
            <w:r w:rsidRPr="004C6052">
              <w:rPr>
                <w:i/>
                <w:iCs/>
                <w:sz w:val="24"/>
                <w:szCs w:val="24"/>
              </w:rPr>
              <w:t>3,1</w:t>
            </w:r>
          </w:p>
        </w:tc>
        <w:tc>
          <w:tcPr>
            <w:tcW w:w="1295" w:type="dxa"/>
          </w:tcPr>
          <w:p w:rsidR="004C6052" w:rsidRPr="004C6052" w:rsidRDefault="004C6052" w:rsidP="008619A6">
            <w:pPr>
              <w:contextualSpacing/>
              <w:jc w:val="center"/>
              <w:rPr>
                <w:i/>
                <w:iCs/>
                <w:sz w:val="24"/>
                <w:szCs w:val="24"/>
              </w:rPr>
            </w:pPr>
            <w:r w:rsidRPr="004C6052">
              <w:rPr>
                <w:i/>
                <w:iCs/>
                <w:sz w:val="24"/>
                <w:szCs w:val="24"/>
              </w:rPr>
              <w:t>2,8</w:t>
            </w:r>
          </w:p>
        </w:tc>
      </w:tr>
      <w:tr w:rsidR="004C6052" w:rsidRPr="004C6052" w:rsidTr="004C6052">
        <w:trPr>
          <w:trHeight w:val="308"/>
        </w:trPr>
        <w:tc>
          <w:tcPr>
            <w:tcW w:w="3526" w:type="dxa"/>
          </w:tcPr>
          <w:p w:rsidR="004C6052" w:rsidRPr="004C6052" w:rsidRDefault="004C6052" w:rsidP="008619A6">
            <w:pPr>
              <w:contextualSpacing/>
              <w:jc w:val="center"/>
              <w:rPr>
                <w:b/>
                <w:sz w:val="24"/>
                <w:szCs w:val="24"/>
              </w:rPr>
            </w:pPr>
            <w:r w:rsidRPr="004C6052">
              <w:rPr>
                <w:b/>
                <w:sz w:val="24"/>
                <w:szCs w:val="24"/>
              </w:rPr>
              <w:t>Количество судей</w:t>
            </w:r>
          </w:p>
        </w:tc>
        <w:tc>
          <w:tcPr>
            <w:tcW w:w="1241" w:type="dxa"/>
          </w:tcPr>
          <w:p w:rsidR="004C6052" w:rsidRPr="004C6052" w:rsidRDefault="004C6052" w:rsidP="008619A6">
            <w:pPr>
              <w:contextualSpacing/>
              <w:jc w:val="center"/>
              <w:rPr>
                <w:i/>
                <w:sz w:val="24"/>
                <w:szCs w:val="24"/>
              </w:rPr>
            </w:pPr>
            <w:r w:rsidRPr="004C6052">
              <w:rPr>
                <w:i/>
                <w:sz w:val="24"/>
                <w:szCs w:val="24"/>
              </w:rPr>
              <w:t>143</w:t>
            </w:r>
          </w:p>
        </w:tc>
        <w:tc>
          <w:tcPr>
            <w:tcW w:w="992" w:type="dxa"/>
          </w:tcPr>
          <w:p w:rsidR="004C6052" w:rsidRPr="004C6052" w:rsidRDefault="004C6052" w:rsidP="008619A6">
            <w:pPr>
              <w:contextualSpacing/>
              <w:jc w:val="center"/>
              <w:rPr>
                <w:i/>
                <w:sz w:val="24"/>
                <w:szCs w:val="24"/>
              </w:rPr>
            </w:pPr>
            <w:r w:rsidRPr="004C6052">
              <w:rPr>
                <w:i/>
                <w:sz w:val="24"/>
                <w:szCs w:val="24"/>
              </w:rPr>
              <w:t>143</w:t>
            </w:r>
          </w:p>
        </w:tc>
        <w:tc>
          <w:tcPr>
            <w:tcW w:w="1134" w:type="dxa"/>
          </w:tcPr>
          <w:p w:rsidR="004C6052" w:rsidRPr="004C6052" w:rsidRDefault="004C6052" w:rsidP="008619A6">
            <w:pPr>
              <w:contextualSpacing/>
              <w:jc w:val="center"/>
              <w:rPr>
                <w:i/>
                <w:sz w:val="24"/>
                <w:szCs w:val="24"/>
              </w:rPr>
            </w:pPr>
            <w:r w:rsidRPr="004C6052">
              <w:rPr>
                <w:i/>
                <w:sz w:val="24"/>
                <w:szCs w:val="24"/>
              </w:rPr>
              <w:t>143</w:t>
            </w:r>
          </w:p>
        </w:tc>
        <w:tc>
          <w:tcPr>
            <w:tcW w:w="1134" w:type="dxa"/>
          </w:tcPr>
          <w:p w:rsidR="004C6052" w:rsidRPr="004C6052" w:rsidRDefault="004C6052" w:rsidP="008619A6">
            <w:pPr>
              <w:contextualSpacing/>
              <w:jc w:val="center"/>
              <w:rPr>
                <w:i/>
                <w:sz w:val="24"/>
                <w:szCs w:val="24"/>
              </w:rPr>
            </w:pPr>
            <w:r w:rsidRPr="004C6052">
              <w:rPr>
                <w:i/>
                <w:sz w:val="24"/>
                <w:szCs w:val="24"/>
              </w:rPr>
              <w:t>143</w:t>
            </w:r>
          </w:p>
        </w:tc>
        <w:tc>
          <w:tcPr>
            <w:tcW w:w="1295" w:type="dxa"/>
          </w:tcPr>
          <w:p w:rsidR="004C6052" w:rsidRPr="004C6052" w:rsidRDefault="004C6052" w:rsidP="008619A6">
            <w:pPr>
              <w:tabs>
                <w:tab w:val="left" w:pos="240"/>
                <w:tab w:val="center" w:pos="485"/>
                <w:tab w:val="right" w:pos="971"/>
              </w:tabs>
              <w:contextualSpacing/>
              <w:jc w:val="center"/>
              <w:rPr>
                <w:i/>
                <w:sz w:val="24"/>
                <w:szCs w:val="24"/>
              </w:rPr>
            </w:pPr>
            <w:r w:rsidRPr="004C6052">
              <w:rPr>
                <w:i/>
                <w:sz w:val="24"/>
                <w:szCs w:val="24"/>
              </w:rPr>
              <w:t>144</w:t>
            </w:r>
          </w:p>
        </w:tc>
      </w:tr>
    </w:tbl>
    <w:p w:rsidR="004C6052" w:rsidRDefault="004C6052" w:rsidP="008619A6">
      <w:pPr>
        <w:ind w:firstLine="900"/>
        <w:contextualSpacing/>
        <w:jc w:val="both"/>
        <w:rPr>
          <w:sz w:val="28"/>
          <w:szCs w:val="28"/>
        </w:rPr>
      </w:pPr>
      <w:r w:rsidRPr="004C6052">
        <w:rPr>
          <w:sz w:val="28"/>
          <w:szCs w:val="28"/>
        </w:rPr>
        <w:lastRenderedPageBreak/>
        <w:t xml:space="preserve">В 2017 году в Верховный </w:t>
      </w:r>
      <w:r>
        <w:rPr>
          <w:sz w:val="28"/>
          <w:szCs w:val="28"/>
        </w:rPr>
        <w:t>С</w:t>
      </w:r>
      <w:r w:rsidRPr="004C6052">
        <w:rPr>
          <w:sz w:val="28"/>
          <w:szCs w:val="28"/>
        </w:rPr>
        <w:t>уд Республики Татарстан для рассмотрения в кассационном порядке поступило 3925 жалоб и представлений на приг</w:t>
      </w:r>
      <w:r>
        <w:rPr>
          <w:sz w:val="28"/>
          <w:szCs w:val="28"/>
        </w:rPr>
        <w:t>оворы и другие судебные решения, вынесенные при рассмотрении уголовных</w:t>
      </w:r>
      <w:r w:rsidRPr="004C6052">
        <w:rPr>
          <w:sz w:val="28"/>
          <w:szCs w:val="28"/>
        </w:rPr>
        <w:t xml:space="preserve"> дел</w:t>
      </w:r>
      <w:proofErr w:type="gramStart"/>
      <w:r>
        <w:rPr>
          <w:sz w:val="28"/>
          <w:szCs w:val="28"/>
        </w:rPr>
        <w:t>.</w:t>
      </w:r>
      <w:proofErr w:type="gramEnd"/>
      <w:r w:rsidRPr="004C6052">
        <w:rPr>
          <w:sz w:val="28"/>
          <w:szCs w:val="28"/>
        </w:rPr>
        <w:t xml:space="preserve"> </w:t>
      </w:r>
      <w:r>
        <w:rPr>
          <w:sz w:val="28"/>
          <w:szCs w:val="28"/>
        </w:rPr>
        <w:t xml:space="preserve">В </w:t>
      </w:r>
      <w:r w:rsidRPr="004C6052">
        <w:rPr>
          <w:sz w:val="28"/>
          <w:szCs w:val="28"/>
        </w:rPr>
        <w:t>гражданск</w:t>
      </w:r>
      <w:r>
        <w:rPr>
          <w:sz w:val="28"/>
          <w:szCs w:val="28"/>
        </w:rPr>
        <w:t>о</w:t>
      </w:r>
      <w:r w:rsidRPr="004C6052">
        <w:rPr>
          <w:sz w:val="28"/>
          <w:szCs w:val="28"/>
        </w:rPr>
        <w:t xml:space="preserve">м </w:t>
      </w:r>
      <w:r>
        <w:rPr>
          <w:sz w:val="28"/>
          <w:szCs w:val="28"/>
        </w:rPr>
        <w:t>производстве в кассационном порядке было обжаловано</w:t>
      </w:r>
      <w:r w:rsidRPr="004C6052">
        <w:rPr>
          <w:sz w:val="28"/>
          <w:szCs w:val="28"/>
        </w:rPr>
        <w:t xml:space="preserve"> 5622</w:t>
      </w:r>
      <w:r>
        <w:rPr>
          <w:sz w:val="28"/>
          <w:szCs w:val="28"/>
        </w:rPr>
        <w:t xml:space="preserve"> решения судов</w:t>
      </w:r>
      <w:r w:rsidR="006A7B80">
        <w:rPr>
          <w:sz w:val="28"/>
          <w:szCs w:val="28"/>
        </w:rPr>
        <w:t xml:space="preserve"> республики</w:t>
      </w:r>
      <w:r w:rsidRPr="004C6052">
        <w:rPr>
          <w:sz w:val="28"/>
          <w:szCs w:val="28"/>
        </w:rPr>
        <w:t>, по административным делам</w:t>
      </w:r>
      <w:r>
        <w:rPr>
          <w:sz w:val="28"/>
          <w:szCs w:val="28"/>
        </w:rPr>
        <w:t xml:space="preserve"> –</w:t>
      </w:r>
      <w:r w:rsidRPr="004C6052">
        <w:rPr>
          <w:sz w:val="28"/>
          <w:szCs w:val="28"/>
        </w:rPr>
        <w:t xml:space="preserve"> 339</w:t>
      </w:r>
      <w:r w:rsidR="006A7B80">
        <w:rPr>
          <w:sz w:val="28"/>
          <w:szCs w:val="28"/>
        </w:rPr>
        <w:t>.</w:t>
      </w:r>
      <w:r w:rsidRPr="004C6052">
        <w:rPr>
          <w:sz w:val="28"/>
          <w:szCs w:val="28"/>
        </w:rPr>
        <w:t xml:space="preserve"> </w:t>
      </w:r>
      <w:r w:rsidR="006A7B80">
        <w:rPr>
          <w:sz w:val="28"/>
          <w:szCs w:val="28"/>
        </w:rPr>
        <w:t>П</w:t>
      </w:r>
      <w:r w:rsidRPr="004C6052">
        <w:rPr>
          <w:sz w:val="28"/>
          <w:szCs w:val="28"/>
        </w:rPr>
        <w:t xml:space="preserve">о делам об административных правонарушениях </w:t>
      </w:r>
      <w:r w:rsidR="006A7B80">
        <w:rPr>
          <w:sz w:val="28"/>
          <w:szCs w:val="28"/>
        </w:rPr>
        <w:t xml:space="preserve">на кассационное рассмотрение </w:t>
      </w:r>
      <w:r w:rsidRPr="004C6052">
        <w:rPr>
          <w:sz w:val="28"/>
          <w:szCs w:val="28"/>
        </w:rPr>
        <w:t>поступило 2513 жалоб и протест</w:t>
      </w:r>
      <w:r w:rsidR="006A7B80">
        <w:rPr>
          <w:sz w:val="28"/>
          <w:szCs w:val="28"/>
        </w:rPr>
        <w:t>ов</w:t>
      </w:r>
      <w:r w:rsidRPr="004C6052">
        <w:rPr>
          <w:sz w:val="28"/>
          <w:szCs w:val="28"/>
        </w:rPr>
        <w:t xml:space="preserve">. </w:t>
      </w:r>
    </w:p>
    <w:p w:rsidR="004C6052" w:rsidRPr="004C6052" w:rsidRDefault="004C6052" w:rsidP="008619A6">
      <w:pPr>
        <w:ind w:firstLine="900"/>
        <w:contextualSpacing/>
        <w:jc w:val="center"/>
        <w:rPr>
          <w:sz w:val="24"/>
          <w:szCs w:val="24"/>
        </w:rPr>
      </w:pPr>
      <w:r w:rsidRPr="004C6052">
        <w:rPr>
          <w:sz w:val="24"/>
          <w:szCs w:val="24"/>
        </w:rPr>
        <w:t xml:space="preserve">                                                         </w:t>
      </w:r>
      <w:r>
        <w:rPr>
          <w:sz w:val="24"/>
          <w:szCs w:val="24"/>
        </w:rPr>
        <w:t xml:space="preserve"> </w:t>
      </w:r>
      <w:r w:rsidRPr="004C6052">
        <w:rPr>
          <w:sz w:val="24"/>
          <w:szCs w:val="24"/>
        </w:rPr>
        <w:t xml:space="preserve">                                                                 Таблица 4</w:t>
      </w:r>
    </w:p>
    <w:tbl>
      <w:tblPr>
        <w:tblW w:w="9214" w:type="dxa"/>
        <w:tblInd w:w="250"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3544"/>
        <w:gridCol w:w="1276"/>
        <w:gridCol w:w="993"/>
        <w:gridCol w:w="1275"/>
        <w:gridCol w:w="1134"/>
        <w:gridCol w:w="992"/>
      </w:tblGrid>
      <w:tr w:rsidR="004C6052" w:rsidRPr="004C6052" w:rsidTr="00097BCE">
        <w:trPr>
          <w:trHeight w:val="390"/>
        </w:trPr>
        <w:tc>
          <w:tcPr>
            <w:tcW w:w="9214" w:type="dxa"/>
            <w:gridSpan w:val="6"/>
            <w:tcBorders>
              <w:top w:val="double" w:sz="4" w:space="0" w:color="auto"/>
              <w:bottom w:val="single" w:sz="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Количество поступивших жалоб, представлений и протестов в кассационном порядке за 12 месяцев</w:t>
            </w:r>
          </w:p>
        </w:tc>
      </w:tr>
      <w:tr w:rsidR="004C6052" w:rsidRPr="004C6052" w:rsidTr="00097BCE">
        <w:tc>
          <w:tcPr>
            <w:tcW w:w="3544"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sz w:val="24"/>
                <w:szCs w:val="24"/>
              </w:rPr>
            </w:pPr>
            <w:r w:rsidRPr="004C6052">
              <w:rPr>
                <w:sz w:val="24"/>
                <w:szCs w:val="24"/>
              </w:rPr>
              <w:t>Судопроизводство</w:t>
            </w:r>
          </w:p>
        </w:tc>
        <w:tc>
          <w:tcPr>
            <w:tcW w:w="1276"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2013</w:t>
            </w:r>
          </w:p>
        </w:tc>
        <w:tc>
          <w:tcPr>
            <w:tcW w:w="993"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2014</w:t>
            </w:r>
          </w:p>
        </w:tc>
        <w:tc>
          <w:tcPr>
            <w:tcW w:w="1275"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2015</w:t>
            </w:r>
          </w:p>
        </w:tc>
        <w:tc>
          <w:tcPr>
            <w:tcW w:w="1134"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2016</w:t>
            </w:r>
          </w:p>
        </w:tc>
        <w:tc>
          <w:tcPr>
            <w:tcW w:w="992"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2017</w:t>
            </w:r>
          </w:p>
        </w:tc>
      </w:tr>
      <w:tr w:rsidR="004C6052" w:rsidRPr="004C6052" w:rsidTr="00097BCE">
        <w:trPr>
          <w:trHeight w:val="335"/>
        </w:trPr>
        <w:tc>
          <w:tcPr>
            <w:tcW w:w="3544" w:type="dxa"/>
            <w:tcBorders>
              <w:top w:val="thickThinLargeGap" w:sz="24" w:space="0" w:color="auto"/>
            </w:tcBorders>
          </w:tcPr>
          <w:p w:rsidR="004C6052" w:rsidRPr="004C6052" w:rsidRDefault="004C6052" w:rsidP="008619A6">
            <w:pPr>
              <w:contextualSpacing/>
              <w:jc w:val="center"/>
              <w:rPr>
                <w:b/>
                <w:sz w:val="24"/>
                <w:szCs w:val="24"/>
                <w:lang w:val="en-US"/>
              </w:rPr>
            </w:pPr>
            <w:r w:rsidRPr="004C6052">
              <w:rPr>
                <w:b/>
                <w:sz w:val="24"/>
                <w:szCs w:val="24"/>
              </w:rPr>
              <w:t>Уголовное</w:t>
            </w:r>
          </w:p>
        </w:tc>
        <w:tc>
          <w:tcPr>
            <w:tcW w:w="1276" w:type="dxa"/>
            <w:tcBorders>
              <w:top w:val="thickThinLargeGap" w:sz="24" w:space="0" w:color="auto"/>
            </w:tcBorders>
          </w:tcPr>
          <w:p w:rsidR="004C6052" w:rsidRPr="004C6052" w:rsidRDefault="004C6052" w:rsidP="008619A6">
            <w:pPr>
              <w:contextualSpacing/>
              <w:jc w:val="center"/>
              <w:rPr>
                <w:i/>
                <w:sz w:val="24"/>
                <w:szCs w:val="24"/>
                <w:highlight w:val="yellow"/>
              </w:rPr>
            </w:pPr>
            <w:r w:rsidRPr="004C6052">
              <w:rPr>
                <w:i/>
                <w:sz w:val="24"/>
                <w:szCs w:val="24"/>
              </w:rPr>
              <w:t>6824</w:t>
            </w:r>
          </w:p>
        </w:tc>
        <w:tc>
          <w:tcPr>
            <w:tcW w:w="993" w:type="dxa"/>
            <w:tcBorders>
              <w:top w:val="thickThinLargeGap" w:sz="24" w:space="0" w:color="auto"/>
            </w:tcBorders>
          </w:tcPr>
          <w:p w:rsidR="004C6052" w:rsidRPr="004C6052" w:rsidRDefault="004C6052" w:rsidP="008619A6">
            <w:pPr>
              <w:contextualSpacing/>
              <w:jc w:val="center"/>
              <w:rPr>
                <w:i/>
                <w:sz w:val="24"/>
                <w:szCs w:val="24"/>
                <w:highlight w:val="yellow"/>
              </w:rPr>
            </w:pPr>
            <w:r w:rsidRPr="004C6052">
              <w:rPr>
                <w:i/>
                <w:sz w:val="24"/>
                <w:szCs w:val="24"/>
              </w:rPr>
              <w:t>4564</w:t>
            </w:r>
          </w:p>
        </w:tc>
        <w:tc>
          <w:tcPr>
            <w:tcW w:w="1275" w:type="dxa"/>
            <w:tcBorders>
              <w:top w:val="thickThinLargeGap" w:sz="24" w:space="0" w:color="auto"/>
            </w:tcBorders>
          </w:tcPr>
          <w:p w:rsidR="004C6052" w:rsidRPr="004C6052" w:rsidRDefault="004C6052" w:rsidP="008619A6">
            <w:pPr>
              <w:contextualSpacing/>
              <w:jc w:val="center"/>
              <w:rPr>
                <w:i/>
                <w:iCs/>
                <w:sz w:val="24"/>
                <w:szCs w:val="24"/>
                <w:highlight w:val="yellow"/>
              </w:rPr>
            </w:pPr>
            <w:r w:rsidRPr="004C6052">
              <w:rPr>
                <w:i/>
                <w:iCs/>
                <w:sz w:val="24"/>
                <w:szCs w:val="24"/>
              </w:rPr>
              <w:t>3999</w:t>
            </w:r>
          </w:p>
        </w:tc>
        <w:tc>
          <w:tcPr>
            <w:tcW w:w="1134" w:type="dxa"/>
            <w:tcBorders>
              <w:top w:val="thickThinLargeGap" w:sz="24" w:space="0" w:color="auto"/>
            </w:tcBorders>
          </w:tcPr>
          <w:p w:rsidR="004C6052" w:rsidRPr="004C6052" w:rsidRDefault="004C6052" w:rsidP="008619A6">
            <w:pPr>
              <w:contextualSpacing/>
              <w:jc w:val="center"/>
              <w:rPr>
                <w:i/>
                <w:iCs/>
                <w:sz w:val="24"/>
                <w:szCs w:val="24"/>
                <w:highlight w:val="yellow"/>
              </w:rPr>
            </w:pPr>
            <w:r w:rsidRPr="004C6052">
              <w:rPr>
                <w:i/>
                <w:iCs/>
                <w:sz w:val="24"/>
                <w:szCs w:val="24"/>
              </w:rPr>
              <w:t>4134</w:t>
            </w:r>
          </w:p>
        </w:tc>
        <w:tc>
          <w:tcPr>
            <w:tcW w:w="992" w:type="dxa"/>
            <w:tcBorders>
              <w:top w:val="thickThinLargeGap" w:sz="24" w:space="0" w:color="auto"/>
            </w:tcBorders>
          </w:tcPr>
          <w:p w:rsidR="004C6052" w:rsidRPr="004C6052" w:rsidRDefault="004C6052" w:rsidP="008619A6">
            <w:pPr>
              <w:contextualSpacing/>
              <w:jc w:val="center"/>
              <w:rPr>
                <w:i/>
                <w:iCs/>
                <w:sz w:val="24"/>
                <w:szCs w:val="24"/>
                <w:highlight w:val="yellow"/>
              </w:rPr>
            </w:pPr>
            <w:r w:rsidRPr="004C6052">
              <w:rPr>
                <w:i/>
                <w:iCs/>
                <w:sz w:val="24"/>
                <w:szCs w:val="24"/>
              </w:rPr>
              <w:t>3925</w:t>
            </w:r>
          </w:p>
        </w:tc>
      </w:tr>
      <w:tr w:rsidR="004C6052" w:rsidRPr="004C6052" w:rsidTr="00097BCE">
        <w:trPr>
          <w:trHeight w:val="163"/>
        </w:trPr>
        <w:tc>
          <w:tcPr>
            <w:tcW w:w="3544" w:type="dxa"/>
          </w:tcPr>
          <w:p w:rsidR="004C6052" w:rsidRPr="004C6052" w:rsidRDefault="004C6052" w:rsidP="008619A6">
            <w:pPr>
              <w:contextualSpacing/>
              <w:jc w:val="center"/>
              <w:rPr>
                <w:b/>
                <w:sz w:val="24"/>
                <w:szCs w:val="24"/>
                <w:lang w:val="en-US"/>
              </w:rPr>
            </w:pPr>
            <w:r w:rsidRPr="004C6052">
              <w:rPr>
                <w:b/>
                <w:sz w:val="24"/>
                <w:szCs w:val="24"/>
              </w:rPr>
              <w:t>Гражданское</w:t>
            </w:r>
          </w:p>
        </w:tc>
        <w:tc>
          <w:tcPr>
            <w:tcW w:w="1276" w:type="dxa"/>
          </w:tcPr>
          <w:p w:rsidR="004C6052" w:rsidRPr="004C6052" w:rsidRDefault="004C6052" w:rsidP="008619A6">
            <w:pPr>
              <w:contextualSpacing/>
              <w:jc w:val="center"/>
              <w:rPr>
                <w:i/>
                <w:sz w:val="24"/>
                <w:szCs w:val="24"/>
              </w:rPr>
            </w:pPr>
            <w:r w:rsidRPr="004C6052">
              <w:rPr>
                <w:i/>
                <w:sz w:val="24"/>
                <w:szCs w:val="24"/>
              </w:rPr>
              <w:t>4198</w:t>
            </w:r>
          </w:p>
        </w:tc>
        <w:tc>
          <w:tcPr>
            <w:tcW w:w="993" w:type="dxa"/>
          </w:tcPr>
          <w:p w:rsidR="004C6052" w:rsidRPr="004C6052" w:rsidRDefault="004C6052" w:rsidP="008619A6">
            <w:pPr>
              <w:contextualSpacing/>
              <w:jc w:val="center"/>
              <w:rPr>
                <w:i/>
                <w:sz w:val="24"/>
                <w:szCs w:val="24"/>
              </w:rPr>
            </w:pPr>
            <w:r w:rsidRPr="004C6052">
              <w:rPr>
                <w:i/>
                <w:sz w:val="24"/>
                <w:szCs w:val="24"/>
              </w:rPr>
              <w:t>4365</w:t>
            </w:r>
          </w:p>
        </w:tc>
        <w:tc>
          <w:tcPr>
            <w:tcW w:w="1275" w:type="dxa"/>
          </w:tcPr>
          <w:p w:rsidR="004C6052" w:rsidRPr="004C6052" w:rsidRDefault="004C6052" w:rsidP="008619A6">
            <w:pPr>
              <w:contextualSpacing/>
              <w:jc w:val="center"/>
              <w:rPr>
                <w:i/>
                <w:iCs/>
                <w:sz w:val="24"/>
                <w:szCs w:val="24"/>
              </w:rPr>
            </w:pPr>
            <w:r w:rsidRPr="004C6052">
              <w:rPr>
                <w:i/>
                <w:iCs/>
                <w:sz w:val="24"/>
                <w:szCs w:val="24"/>
              </w:rPr>
              <w:t>4523</w:t>
            </w:r>
          </w:p>
        </w:tc>
        <w:tc>
          <w:tcPr>
            <w:tcW w:w="1134" w:type="dxa"/>
          </w:tcPr>
          <w:p w:rsidR="004C6052" w:rsidRPr="004C6052" w:rsidRDefault="004C6052" w:rsidP="008619A6">
            <w:pPr>
              <w:contextualSpacing/>
              <w:jc w:val="center"/>
              <w:rPr>
                <w:i/>
                <w:iCs/>
                <w:sz w:val="24"/>
                <w:szCs w:val="24"/>
              </w:rPr>
            </w:pPr>
            <w:r w:rsidRPr="004C6052">
              <w:rPr>
                <w:i/>
                <w:iCs/>
                <w:sz w:val="24"/>
                <w:szCs w:val="24"/>
              </w:rPr>
              <w:t>4420</w:t>
            </w:r>
          </w:p>
        </w:tc>
        <w:tc>
          <w:tcPr>
            <w:tcW w:w="992" w:type="dxa"/>
          </w:tcPr>
          <w:p w:rsidR="004C6052" w:rsidRPr="004C6052" w:rsidRDefault="004C6052" w:rsidP="008619A6">
            <w:pPr>
              <w:contextualSpacing/>
              <w:jc w:val="center"/>
              <w:rPr>
                <w:i/>
                <w:iCs/>
                <w:sz w:val="24"/>
                <w:szCs w:val="24"/>
              </w:rPr>
            </w:pPr>
            <w:r w:rsidRPr="004C6052">
              <w:rPr>
                <w:i/>
                <w:iCs/>
                <w:sz w:val="24"/>
                <w:szCs w:val="24"/>
              </w:rPr>
              <w:t>5622</w:t>
            </w:r>
          </w:p>
        </w:tc>
      </w:tr>
      <w:tr w:rsidR="004C6052" w:rsidRPr="004C6052" w:rsidTr="00097BCE">
        <w:trPr>
          <w:trHeight w:val="163"/>
        </w:trPr>
        <w:tc>
          <w:tcPr>
            <w:tcW w:w="3544" w:type="dxa"/>
          </w:tcPr>
          <w:p w:rsidR="004C6052" w:rsidRPr="004C6052" w:rsidRDefault="004C6052" w:rsidP="008619A6">
            <w:pPr>
              <w:contextualSpacing/>
              <w:jc w:val="center"/>
              <w:rPr>
                <w:b/>
                <w:sz w:val="24"/>
                <w:szCs w:val="24"/>
              </w:rPr>
            </w:pPr>
            <w:r w:rsidRPr="004C6052">
              <w:rPr>
                <w:b/>
                <w:sz w:val="24"/>
                <w:szCs w:val="24"/>
              </w:rPr>
              <w:t>Административное</w:t>
            </w:r>
          </w:p>
        </w:tc>
        <w:tc>
          <w:tcPr>
            <w:tcW w:w="1276" w:type="dxa"/>
          </w:tcPr>
          <w:p w:rsidR="004C6052" w:rsidRPr="004C6052" w:rsidRDefault="004C6052" w:rsidP="008619A6">
            <w:pPr>
              <w:contextualSpacing/>
              <w:jc w:val="center"/>
              <w:rPr>
                <w:i/>
                <w:sz w:val="24"/>
                <w:szCs w:val="24"/>
              </w:rPr>
            </w:pPr>
            <w:r w:rsidRPr="004C6052">
              <w:rPr>
                <w:i/>
                <w:sz w:val="24"/>
                <w:szCs w:val="24"/>
              </w:rPr>
              <w:t>-</w:t>
            </w:r>
          </w:p>
        </w:tc>
        <w:tc>
          <w:tcPr>
            <w:tcW w:w="993" w:type="dxa"/>
          </w:tcPr>
          <w:p w:rsidR="004C6052" w:rsidRPr="004C6052" w:rsidRDefault="004C6052" w:rsidP="008619A6">
            <w:pPr>
              <w:contextualSpacing/>
              <w:jc w:val="center"/>
              <w:rPr>
                <w:i/>
                <w:sz w:val="24"/>
                <w:szCs w:val="24"/>
              </w:rPr>
            </w:pPr>
            <w:r w:rsidRPr="004C6052">
              <w:rPr>
                <w:i/>
                <w:sz w:val="24"/>
                <w:szCs w:val="24"/>
              </w:rPr>
              <w:t>-</w:t>
            </w:r>
          </w:p>
        </w:tc>
        <w:tc>
          <w:tcPr>
            <w:tcW w:w="1275" w:type="dxa"/>
          </w:tcPr>
          <w:p w:rsidR="004C6052" w:rsidRPr="004C6052" w:rsidRDefault="004C6052" w:rsidP="008619A6">
            <w:pPr>
              <w:contextualSpacing/>
              <w:jc w:val="center"/>
              <w:rPr>
                <w:i/>
                <w:iCs/>
                <w:sz w:val="24"/>
                <w:szCs w:val="24"/>
              </w:rPr>
            </w:pPr>
            <w:r w:rsidRPr="004C6052">
              <w:rPr>
                <w:i/>
                <w:iCs/>
                <w:sz w:val="24"/>
                <w:szCs w:val="24"/>
              </w:rPr>
              <w:t>-</w:t>
            </w:r>
          </w:p>
        </w:tc>
        <w:tc>
          <w:tcPr>
            <w:tcW w:w="1134" w:type="dxa"/>
          </w:tcPr>
          <w:p w:rsidR="004C6052" w:rsidRPr="004C6052" w:rsidRDefault="004C6052" w:rsidP="008619A6">
            <w:pPr>
              <w:contextualSpacing/>
              <w:jc w:val="center"/>
              <w:rPr>
                <w:i/>
                <w:iCs/>
                <w:sz w:val="24"/>
                <w:szCs w:val="24"/>
              </w:rPr>
            </w:pPr>
            <w:r w:rsidRPr="004C6052">
              <w:rPr>
                <w:i/>
                <w:iCs/>
                <w:sz w:val="24"/>
                <w:szCs w:val="24"/>
              </w:rPr>
              <w:t>359</w:t>
            </w:r>
          </w:p>
        </w:tc>
        <w:tc>
          <w:tcPr>
            <w:tcW w:w="992" w:type="dxa"/>
          </w:tcPr>
          <w:p w:rsidR="004C6052" w:rsidRPr="004C6052" w:rsidRDefault="004C6052" w:rsidP="008619A6">
            <w:pPr>
              <w:contextualSpacing/>
              <w:jc w:val="center"/>
              <w:rPr>
                <w:i/>
                <w:iCs/>
                <w:sz w:val="24"/>
                <w:szCs w:val="24"/>
              </w:rPr>
            </w:pPr>
            <w:r w:rsidRPr="004C6052">
              <w:rPr>
                <w:i/>
                <w:iCs/>
                <w:sz w:val="24"/>
                <w:szCs w:val="24"/>
              </w:rPr>
              <w:t>339</w:t>
            </w:r>
          </w:p>
        </w:tc>
      </w:tr>
      <w:tr w:rsidR="004C6052" w:rsidRPr="004C6052" w:rsidTr="00097BCE">
        <w:trPr>
          <w:trHeight w:val="77"/>
        </w:trPr>
        <w:tc>
          <w:tcPr>
            <w:tcW w:w="3544" w:type="dxa"/>
          </w:tcPr>
          <w:p w:rsidR="004C6052" w:rsidRPr="004C6052" w:rsidRDefault="004C6052" w:rsidP="008619A6">
            <w:pPr>
              <w:contextualSpacing/>
              <w:jc w:val="center"/>
              <w:rPr>
                <w:b/>
                <w:sz w:val="24"/>
                <w:szCs w:val="24"/>
              </w:rPr>
            </w:pPr>
            <w:r w:rsidRPr="004C6052">
              <w:rPr>
                <w:b/>
                <w:sz w:val="24"/>
                <w:szCs w:val="24"/>
              </w:rPr>
              <w:t>Производство по делам об административных правонарушениях</w:t>
            </w:r>
          </w:p>
        </w:tc>
        <w:tc>
          <w:tcPr>
            <w:tcW w:w="1276" w:type="dxa"/>
          </w:tcPr>
          <w:p w:rsidR="004C6052" w:rsidRPr="004C6052" w:rsidRDefault="004C6052" w:rsidP="008619A6">
            <w:pPr>
              <w:contextualSpacing/>
              <w:jc w:val="center"/>
              <w:rPr>
                <w:i/>
                <w:sz w:val="24"/>
                <w:szCs w:val="24"/>
              </w:rPr>
            </w:pPr>
            <w:r w:rsidRPr="004C6052">
              <w:rPr>
                <w:i/>
                <w:sz w:val="24"/>
                <w:szCs w:val="24"/>
              </w:rPr>
              <w:t>2104</w:t>
            </w:r>
          </w:p>
        </w:tc>
        <w:tc>
          <w:tcPr>
            <w:tcW w:w="993" w:type="dxa"/>
          </w:tcPr>
          <w:p w:rsidR="004C6052" w:rsidRPr="004C6052" w:rsidRDefault="004C6052" w:rsidP="008619A6">
            <w:pPr>
              <w:contextualSpacing/>
              <w:jc w:val="center"/>
              <w:rPr>
                <w:i/>
                <w:sz w:val="24"/>
                <w:szCs w:val="24"/>
              </w:rPr>
            </w:pPr>
            <w:r w:rsidRPr="004C6052">
              <w:rPr>
                <w:i/>
                <w:sz w:val="24"/>
                <w:szCs w:val="24"/>
              </w:rPr>
              <w:t>2195</w:t>
            </w:r>
          </w:p>
        </w:tc>
        <w:tc>
          <w:tcPr>
            <w:tcW w:w="1275" w:type="dxa"/>
          </w:tcPr>
          <w:p w:rsidR="004C6052" w:rsidRPr="004C6052" w:rsidRDefault="004C6052" w:rsidP="008619A6">
            <w:pPr>
              <w:contextualSpacing/>
              <w:jc w:val="center"/>
              <w:rPr>
                <w:i/>
                <w:iCs/>
                <w:sz w:val="24"/>
                <w:szCs w:val="24"/>
              </w:rPr>
            </w:pPr>
            <w:r w:rsidRPr="004C6052">
              <w:rPr>
                <w:i/>
                <w:iCs/>
                <w:sz w:val="24"/>
                <w:szCs w:val="24"/>
              </w:rPr>
              <w:t>2412</w:t>
            </w:r>
          </w:p>
        </w:tc>
        <w:tc>
          <w:tcPr>
            <w:tcW w:w="1134" w:type="dxa"/>
          </w:tcPr>
          <w:p w:rsidR="004C6052" w:rsidRPr="004C6052" w:rsidRDefault="004C6052" w:rsidP="008619A6">
            <w:pPr>
              <w:contextualSpacing/>
              <w:jc w:val="center"/>
              <w:rPr>
                <w:i/>
                <w:iCs/>
                <w:sz w:val="24"/>
                <w:szCs w:val="24"/>
                <w:highlight w:val="yellow"/>
              </w:rPr>
            </w:pPr>
            <w:r w:rsidRPr="004C6052">
              <w:rPr>
                <w:i/>
                <w:iCs/>
                <w:sz w:val="24"/>
                <w:szCs w:val="24"/>
              </w:rPr>
              <w:t>2461</w:t>
            </w:r>
          </w:p>
        </w:tc>
        <w:tc>
          <w:tcPr>
            <w:tcW w:w="992" w:type="dxa"/>
          </w:tcPr>
          <w:p w:rsidR="004C6052" w:rsidRPr="004C6052" w:rsidRDefault="004C6052" w:rsidP="008619A6">
            <w:pPr>
              <w:contextualSpacing/>
              <w:jc w:val="center"/>
              <w:rPr>
                <w:i/>
                <w:iCs/>
                <w:sz w:val="24"/>
                <w:szCs w:val="24"/>
              </w:rPr>
            </w:pPr>
            <w:r w:rsidRPr="004C6052">
              <w:rPr>
                <w:i/>
                <w:iCs/>
                <w:sz w:val="24"/>
                <w:szCs w:val="24"/>
              </w:rPr>
              <w:t>2513</w:t>
            </w:r>
          </w:p>
        </w:tc>
      </w:tr>
    </w:tbl>
    <w:p w:rsidR="004C6052" w:rsidRDefault="004C6052" w:rsidP="008619A6">
      <w:pPr>
        <w:ind w:firstLine="900"/>
        <w:contextualSpacing/>
        <w:jc w:val="both"/>
        <w:rPr>
          <w:sz w:val="28"/>
          <w:szCs w:val="28"/>
        </w:rPr>
      </w:pPr>
    </w:p>
    <w:p w:rsidR="004C6052" w:rsidRPr="004C6052" w:rsidRDefault="004C6052" w:rsidP="008619A6">
      <w:pPr>
        <w:ind w:firstLine="900"/>
        <w:contextualSpacing/>
        <w:jc w:val="both"/>
        <w:rPr>
          <w:sz w:val="28"/>
          <w:szCs w:val="28"/>
        </w:rPr>
      </w:pPr>
      <w:r w:rsidRPr="004C6052">
        <w:rPr>
          <w:sz w:val="28"/>
          <w:szCs w:val="28"/>
        </w:rPr>
        <w:t xml:space="preserve">Данные о нагрузке при рассмотрении дел в кассационной инстанции </w:t>
      </w:r>
      <w:proofErr w:type="gramStart"/>
      <w:r w:rsidRPr="004C6052">
        <w:rPr>
          <w:sz w:val="28"/>
          <w:szCs w:val="28"/>
        </w:rPr>
        <w:t>представлены</w:t>
      </w:r>
      <w:proofErr w:type="gramEnd"/>
      <w:r w:rsidRPr="004C6052">
        <w:rPr>
          <w:sz w:val="28"/>
          <w:szCs w:val="28"/>
        </w:rPr>
        <w:t xml:space="preserve"> в Таблице 5.</w:t>
      </w:r>
    </w:p>
    <w:tbl>
      <w:tblPr>
        <w:tblpPr w:leftFromText="180" w:rightFromText="180" w:vertAnchor="text" w:horzAnchor="margin" w:tblpX="250" w:tblpY="336"/>
        <w:tblW w:w="9464"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3526"/>
        <w:gridCol w:w="1241"/>
        <w:gridCol w:w="992"/>
        <w:gridCol w:w="1134"/>
        <w:gridCol w:w="1134"/>
        <w:gridCol w:w="1437"/>
      </w:tblGrid>
      <w:tr w:rsidR="004C6052" w:rsidRPr="004C6052" w:rsidTr="00097BCE">
        <w:trPr>
          <w:trHeight w:val="557"/>
        </w:trPr>
        <w:tc>
          <w:tcPr>
            <w:tcW w:w="9464" w:type="dxa"/>
            <w:gridSpan w:val="6"/>
            <w:tcBorders>
              <w:top w:val="double" w:sz="4" w:space="0" w:color="auto"/>
              <w:bottom w:val="single" w:sz="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Нагрузка при рассмотрении дел в кассационной инстанции за 12 месяцев</w:t>
            </w:r>
          </w:p>
        </w:tc>
      </w:tr>
      <w:tr w:rsidR="004C6052" w:rsidRPr="004C6052" w:rsidTr="00097BCE">
        <w:tc>
          <w:tcPr>
            <w:tcW w:w="3526"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sz w:val="24"/>
                <w:szCs w:val="24"/>
              </w:rPr>
            </w:pPr>
            <w:r w:rsidRPr="004C6052">
              <w:rPr>
                <w:sz w:val="24"/>
                <w:szCs w:val="24"/>
              </w:rPr>
              <w:t>Судопроизводство</w:t>
            </w:r>
          </w:p>
        </w:tc>
        <w:tc>
          <w:tcPr>
            <w:tcW w:w="1241"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2013</w:t>
            </w:r>
          </w:p>
        </w:tc>
        <w:tc>
          <w:tcPr>
            <w:tcW w:w="992"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2014</w:t>
            </w:r>
          </w:p>
        </w:tc>
        <w:tc>
          <w:tcPr>
            <w:tcW w:w="1134"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2015</w:t>
            </w:r>
          </w:p>
        </w:tc>
        <w:tc>
          <w:tcPr>
            <w:tcW w:w="1134"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2016</w:t>
            </w:r>
          </w:p>
        </w:tc>
        <w:tc>
          <w:tcPr>
            <w:tcW w:w="1437" w:type="dxa"/>
            <w:tcBorders>
              <w:top w:val="single" w:sz="4" w:space="0" w:color="auto"/>
              <w:bottom w:val="thickThinLargeGap" w:sz="24" w:space="0" w:color="auto"/>
            </w:tcBorders>
            <w:shd w:val="clear" w:color="auto" w:fill="auto"/>
          </w:tcPr>
          <w:p w:rsidR="004C6052" w:rsidRPr="004C6052" w:rsidRDefault="004C6052" w:rsidP="008619A6">
            <w:pPr>
              <w:contextualSpacing/>
              <w:jc w:val="center"/>
              <w:rPr>
                <w:b/>
                <w:sz w:val="24"/>
                <w:szCs w:val="24"/>
              </w:rPr>
            </w:pPr>
            <w:r w:rsidRPr="004C6052">
              <w:rPr>
                <w:b/>
                <w:sz w:val="24"/>
                <w:szCs w:val="24"/>
              </w:rPr>
              <w:t>2017</w:t>
            </w:r>
          </w:p>
        </w:tc>
      </w:tr>
      <w:tr w:rsidR="004C6052" w:rsidRPr="004C6052" w:rsidTr="00097BCE">
        <w:trPr>
          <w:trHeight w:val="296"/>
        </w:trPr>
        <w:tc>
          <w:tcPr>
            <w:tcW w:w="3526" w:type="dxa"/>
          </w:tcPr>
          <w:p w:rsidR="004C6052" w:rsidRPr="004C6052" w:rsidRDefault="004C6052" w:rsidP="008619A6">
            <w:pPr>
              <w:contextualSpacing/>
              <w:jc w:val="center"/>
              <w:rPr>
                <w:b/>
                <w:sz w:val="24"/>
                <w:szCs w:val="24"/>
              </w:rPr>
            </w:pPr>
            <w:r w:rsidRPr="004C6052">
              <w:rPr>
                <w:b/>
                <w:sz w:val="24"/>
                <w:szCs w:val="24"/>
              </w:rPr>
              <w:t>Уголовное</w:t>
            </w:r>
          </w:p>
        </w:tc>
        <w:tc>
          <w:tcPr>
            <w:tcW w:w="1241" w:type="dxa"/>
          </w:tcPr>
          <w:p w:rsidR="004C6052" w:rsidRPr="004C6052" w:rsidRDefault="004C6052" w:rsidP="008619A6">
            <w:pPr>
              <w:contextualSpacing/>
              <w:jc w:val="center"/>
              <w:rPr>
                <w:i/>
                <w:iCs/>
                <w:sz w:val="24"/>
                <w:szCs w:val="24"/>
              </w:rPr>
            </w:pPr>
            <w:r w:rsidRPr="004C6052">
              <w:rPr>
                <w:i/>
                <w:iCs/>
                <w:sz w:val="24"/>
                <w:szCs w:val="24"/>
              </w:rPr>
              <w:t>4,5</w:t>
            </w:r>
          </w:p>
        </w:tc>
        <w:tc>
          <w:tcPr>
            <w:tcW w:w="992" w:type="dxa"/>
          </w:tcPr>
          <w:p w:rsidR="004C6052" w:rsidRPr="004C6052" w:rsidRDefault="004C6052" w:rsidP="008619A6">
            <w:pPr>
              <w:contextualSpacing/>
              <w:jc w:val="center"/>
              <w:rPr>
                <w:i/>
                <w:iCs/>
                <w:sz w:val="24"/>
                <w:szCs w:val="24"/>
              </w:rPr>
            </w:pPr>
            <w:r w:rsidRPr="004C6052">
              <w:rPr>
                <w:i/>
                <w:iCs/>
                <w:sz w:val="24"/>
                <w:szCs w:val="24"/>
              </w:rPr>
              <w:t>3</w:t>
            </w:r>
          </w:p>
        </w:tc>
        <w:tc>
          <w:tcPr>
            <w:tcW w:w="1134" w:type="dxa"/>
          </w:tcPr>
          <w:p w:rsidR="004C6052" w:rsidRPr="004C6052" w:rsidRDefault="004C6052" w:rsidP="008619A6">
            <w:pPr>
              <w:contextualSpacing/>
              <w:jc w:val="center"/>
              <w:rPr>
                <w:i/>
                <w:iCs/>
                <w:sz w:val="24"/>
                <w:szCs w:val="24"/>
              </w:rPr>
            </w:pPr>
            <w:r w:rsidRPr="004C6052">
              <w:rPr>
                <w:i/>
                <w:iCs/>
                <w:sz w:val="24"/>
                <w:szCs w:val="24"/>
              </w:rPr>
              <w:t>2,7</w:t>
            </w:r>
          </w:p>
        </w:tc>
        <w:tc>
          <w:tcPr>
            <w:tcW w:w="1134" w:type="dxa"/>
          </w:tcPr>
          <w:p w:rsidR="004C6052" w:rsidRPr="004C6052" w:rsidRDefault="004C6052" w:rsidP="008619A6">
            <w:pPr>
              <w:contextualSpacing/>
              <w:jc w:val="center"/>
              <w:rPr>
                <w:i/>
                <w:iCs/>
                <w:sz w:val="24"/>
                <w:szCs w:val="24"/>
              </w:rPr>
            </w:pPr>
            <w:r w:rsidRPr="004C6052">
              <w:rPr>
                <w:i/>
                <w:iCs/>
                <w:sz w:val="24"/>
                <w:szCs w:val="24"/>
              </w:rPr>
              <w:t>2,8</w:t>
            </w:r>
          </w:p>
        </w:tc>
        <w:tc>
          <w:tcPr>
            <w:tcW w:w="1437" w:type="dxa"/>
          </w:tcPr>
          <w:p w:rsidR="004C6052" w:rsidRPr="004C6052" w:rsidRDefault="004C6052" w:rsidP="008619A6">
            <w:pPr>
              <w:contextualSpacing/>
              <w:jc w:val="center"/>
              <w:rPr>
                <w:i/>
                <w:iCs/>
                <w:sz w:val="24"/>
                <w:szCs w:val="24"/>
              </w:rPr>
            </w:pPr>
            <w:r w:rsidRPr="004C6052">
              <w:rPr>
                <w:i/>
                <w:iCs/>
                <w:sz w:val="24"/>
                <w:szCs w:val="24"/>
              </w:rPr>
              <w:t>2,6</w:t>
            </w:r>
          </w:p>
        </w:tc>
      </w:tr>
      <w:tr w:rsidR="004C6052" w:rsidRPr="004C6052" w:rsidTr="00097BCE">
        <w:trPr>
          <w:trHeight w:val="302"/>
        </w:trPr>
        <w:tc>
          <w:tcPr>
            <w:tcW w:w="3526" w:type="dxa"/>
          </w:tcPr>
          <w:p w:rsidR="004C6052" w:rsidRPr="004C6052" w:rsidRDefault="004C6052" w:rsidP="008619A6">
            <w:pPr>
              <w:contextualSpacing/>
              <w:jc w:val="center"/>
              <w:rPr>
                <w:b/>
                <w:sz w:val="24"/>
                <w:szCs w:val="24"/>
              </w:rPr>
            </w:pPr>
            <w:r w:rsidRPr="004C6052">
              <w:rPr>
                <w:b/>
                <w:sz w:val="24"/>
                <w:szCs w:val="24"/>
              </w:rPr>
              <w:t>Гражданское</w:t>
            </w:r>
          </w:p>
        </w:tc>
        <w:tc>
          <w:tcPr>
            <w:tcW w:w="1241" w:type="dxa"/>
          </w:tcPr>
          <w:p w:rsidR="004C6052" w:rsidRPr="004C6052" w:rsidRDefault="004C6052" w:rsidP="008619A6">
            <w:pPr>
              <w:contextualSpacing/>
              <w:jc w:val="center"/>
              <w:rPr>
                <w:i/>
                <w:iCs/>
                <w:sz w:val="24"/>
                <w:szCs w:val="24"/>
              </w:rPr>
            </w:pPr>
            <w:r w:rsidRPr="004C6052">
              <w:rPr>
                <w:i/>
                <w:iCs/>
                <w:sz w:val="24"/>
                <w:szCs w:val="24"/>
              </w:rPr>
              <w:t>2,8</w:t>
            </w:r>
          </w:p>
        </w:tc>
        <w:tc>
          <w:tcPr>
            <w:tcW w:w="992" w:type="dxa"/>
          </w:tcPr>
          <w:p w:rsidR="004C6052" w:rsidRPr="004C6052" w:rsidRDefault="004C6052" w:rsidP="008619A6">
            <w:pPr>
              <w:contextualSpacing/>
              <w:jc w:val="center"/>
              <w:rPr>
                <w:i/>
                <w:iCs/>
                <w:sz w:val="24"/>
                <w:szCs w:val="24"/>
              </w:rPr>
            </w:pPr>
            <w:r w:rsidRPr="004C6052">
              <w:rPr>
                <w:i/>
                <w:iCs/>
                <w:sz w:val="24"/>
                <w:szCs w:val="24"/>
              </w:rPr>
              <w:t>2,9</w:t>
            </w:r>
          </w:p>
        </w:tc>
        <w:tc>
          <w:tcPr>
            <w:tcW w:w="1134" w:type="dxa"/>
          </w:tcPr>
          <w:p w:rsidR="004C6052" w:rsidRPr="004C6052" w:rsidRDefault="004C6052" w:rsidP="008619A6">
            <w:pPr>
              <w:contextualSpacing/>
              <w:jc w:val="center"/>
              <w:rPr>
                <w:i/>
                <w:iCs/>
                <w:sz w:val="24"/>
                <w:szCs w:val="24"/>
              </w:rPr>
            </w:pPr>
            <w:r w:rsidRPr="004C6052">
              <w:rPr>
                <w:i/>
                <w:iCs/>
                <w:sz w:val="24"/>
                <w:szCs w:val="24"/>
              </w:rPr>
              <w:t>3</w:t>
            </w:r>
          </w:p>
        </w:tc>
        <w:tc>
          <w:tcPr>
            <w:tcW w:w="1134" w:type="dxa"/>
          </w:tcPr>
          <w:p w:rsidR="004C6052" w:rsidRPr="004C6052" w:rsidRDefault="004C6052" w:rsidP="008619A6">
            <w:pPr>
              <w:contextualSpacing/>
              <w:jc w:val="center"/>
              <w:rPr>
                <w:i/>
                <w:iCs/>
                <w:sz w:val="24"/>
                <w:szCs w:val="24"/>
              </w:rPr>
            </w:pPr>
            <w:r w:rsidRPr="004C6052">
              <w:rPr>
                <w:i/>
                <w:iCs/>
                <w:sz w:val="24"/>
                <w:szCs w:val="24"/>
              </w:rPr>
              <w:t>2,9</w:t>
            </w:r>
          </w:p>
        </w:tc>
        <w:tc>
          <w:tcPr>
            <w:tcW w:w="1437" w:type="dxa"/>
          </w:tcPr>
          <w:p w:rsidR="004C6052" w:rsidRPr="004C6052" w:rsidRDefault="004C6052" w:rsidP="008619A6">
            <w:pPr>
              <w:contextualSpacing/>
              <w:jc w:val="center"/>
              <w:rPr>
                <w:i/>
                <w:iCs/>
                <w:sz w:val="24"/>
                <w:szCs w:val="24"/>
              </w:rPr>
            </w:pPr>
            <w:r w:rsidRPr="004C6052">
              <w:rPr>
                <w:i/>
                <w:iCs/>
                <w:sz w:val="24"/>
                <w:szCs w:val="24"/>
              </w:rPr>
              <w:t>3,7</w:t>
            </w:r>
          </w:p>
        </w:tc>
      </w:tr>
      <w:tr w:rsidR="004C6052" w:rsidRPr="004C6052" w:rsidTr="00097BCE">
        <w:trPr>
          <w:trHeight w:val="308"/>
        </w:trPr>
        <w:tc>
          <w:tcPr>
            <w:tcW w:w="3526" w:type="dxa"/>
          </w:tcPr>
          <w:p w:rsidR="004C6052" w:rsidRPr="004C6052" w:rsidRDefault="004C6052" w:rsidP="008619A6">
            <w:pPr>
              <w:contextualSpacing/>
              <w:jc w:val="center"/>
              <w:rPr>
                <w:b/>
                <w:sz w:val="24"/>
                <w:szCs w:val="24"/>
              </w:rPr>
            </w:pPr>
            <w:r w:rsidRPr="004C6052">
              <w:rPr>
                <w:b/>
                <w:sz w:val="24"/>
                <w:szCs w:val="24"/>
              </w:rPr>
              <w:t>Административное</w:t>
            </w:r>
          </w:p>
        </w:tc>
        <w:tc>
          <w:tcPr>
            <w:tcW w:w="1241" w:type="dxa"/>
          </w:tcPr>
          <w:p w:rsidR="004C6052" w:rsidRPr="004C6052" w:rsidRDefault="004C6052" w:rsidP="008619A6">
            <w:pPr>
              <w:contextualSpacing/>
              <w:jc w:val="center"/>
              <w:rPr>
                <w:i/>
                <w:iCs/>
                <w:sz w:val="24"/>
                <w:szCs w:val="24"/>
              </w:rPr>
            </w:pPr>
            <w:r w:rsidRPr="004C6052">
              <w:rPr>
                <w:i/>
                <w:iCs/>
                <w:sz w:val="24"/>
                <w:szCs w:val="24"/>
              </w:rPr>
              <w:t>-</w:t>
            </w:r>
          </w:p>
        </w:tc>
        <w:tc>
          <w:tcPr>
            <w:tcW w:w="992" w:type="dxa"/>
          </w:tcPr>
          <w:p w:rsidR="004C6052" w:rsidRPr="004C6052" w:rsidRDefault="004C6052" w:rsidP="008619A6">
            <w:pPr>
              <w:contextualSpacing/>
              <w:jc w:val="center"/>
              <w:rPr>
                <w:i/>
                <w:iCs/>
                <w:sz w:val="24"/>
                <w:szCs w:val="24"/>
              </w:rPr>
            </w:pPr>
            <w:r w:rsidRPr="004C6052">
              <w:rPr>
                <w:i/>
                <w:iCs/>
                <w:sz w:val="24"/>
                <w:szCs w:val="24"/>
              </w:rPr>
              <w:t>-</w:t>
            </w:r>
          </w:p>
        </w:tc>
        <w:tc>
          <w:tcPr>
            <w:tcW w:w="1134" w:type="dxa"/>
          </w:tcPr>
          <w:p w:rsidR="004C6052" w:rsidRPr="004C6052" w:rsidRDefault="004C6052" w:rsidP="008619A6">
            <w:pPr>
              <w:contextualSpacing/>
              <w:jc w:val="center"/>
              <w:rPr>
                <w:i/>
                <w:iCs/>
                <w:sz w:val="24"/>
                <w:szCs w:val="24"/>
              </w:rPr>
            </w:pPr>
            <w:r w:rsidRPr="004C6052">
              <w:rPr>
                <w:i/>
                <w:iCs/>
                <w:sz w:val="24"/>
                <w:szCs w:val="24"/>
              </w:rPr>
              <w:t>-</w:t>
            </w:r>
          </w:p>
        </w:tc>
        <w:tc>
          <w:tcPr>
            <w:tcW w:w="1134" w:type="dxa"/>
          </w:tcPr>
          <w:p w:rsidR="004C6052" w:rsidRPr="004C6052" w:rsidRDefault="004C6052" w:rsidP="008619A6">
            <w:pPr>
              <w:contextualSpacing/>
              <w:jc w:val="center"/>
              <w:rPr>
                <w:i/>
                <w:iCs/>
                <w:sz w:val="24"/>
                <w:szCs w:val="24"/>
              </w:rPr>
            </w:pPr>
            <w:r w:rsidRPr="004C6052">
              <w:rPr>
                <w:i/>
                <w:iCs/>
                <w:sz w:val="24"/>
                <w:szCs w:val="24"/>
              </w:rPr>
              <w:t>0,2</w:t>
            </w:r>
          </w:p>
        </w:tc>
        <w:tc>
          <w:tcPr>
            <w:tcW w:w="1437" w:type="dxa"/>
          </w:tcPr>
          <w:p w:rsidR="004C6052" w:rsidRPr="004C6052" w:rsidRDefault="004C6052" w:rsidP="008619A6">
            <w:pPr>
              <w:contextualSpacing/>
              <w:jc w:val="center"/>
              <w:rPr>
                <w:i/>
                <w:iCs/>
                <w:sz w:val="24"/>
                <w:szCs w:val="24"/>
              </w:rPr>
            </w:pPr>
            <w:r w:rsidRPr="004C6052">
              <w:rPr>
                <w:i/>
                <w:iCs/>
                <w:sz w:val="24"/>
                <w:szCs w:val="24"/>
              </w:rPr>
              <w:t>0,2</w:t>
            </w:r>
          </w:p>
        </w:tc>
      </w:tr>
      <w:tr w:rsidR="004C6052" w:rsidRPr="004C6052" w:rsidTr="00097BCE">
        <w:trPr>
          <w:trHeight w:val="308"/>
        </w:trPr>
        <w:tc>
          <w:tcPr>
            <w:tcW w:w="3526" w:type="dxa"/>
          </w:tcPr>
          <w:p w:rsidR="004C6052" w:rsidRPr="004C6052" w:rsidRDefault="004C6052" w:rsidP="008619A6">
            <w:pPr>
              <w:contextualSpacing/>
              <w:jc w:val="center"/>
              <w:rPr>
                <w:b/>
                <w:sz w:val="24"/>
                <w:szCs w:val="24"/>
              </w:rPr>
            </w:pPr>
            <w:r w:rsidRPr="004C6052">
              <w:rPr>
                <w:b/>
                <w:sz w:val="24"/>
                <w:szCs w:val="24"/>
              </w:rPr>
              <w:t>Производство по делам об административных правонарушениях</w:t>
            </w:r>
          </w:p>
        </w:tc>
        <w:tc>
          <w:tcPr>
            <w:tcW w:w="1241" w:type="dxa"/>
          </w:tcPr>
          <w:p w:rsidR="004C6052" w:rsidRPr="004C6052" w:rsidRDefault="004C6052" w:rsidP="008619A6">
            <w:pPr>
              <w:contextualSpacing/>
              <w:jc w:val="center"/>
              <w:rPr>
                <w:i/>
                <w:iCs/>
                <w:sz w:val="24"/>
                <w:szCs w:val="24"/>
              </w:rPr>
            </w:pPr>
            <w:r w:rsidRPr="004C6052">
              <w:rPr>
                <w:i/>
                <w:iCs/>
                <w:sz w:val="24"/>
                <w:szCs w:val="24"/>
              </w:rPr>
              <w:t>1,4</w:t>
            </w:r>
          </w:p>
        </w:tc>
        <w:tc>
          <w:tcPr>
            <w:tcW w:w="992" w:type="dxa"/>
          </w:tcPr>
          <w:p w:rsidR="004C6052" w:rsidRPr="004C6052" w:rsidRDefault="004C6052" w:rsidP="008619A6">
            <w:pPr>
              <w:contextualSpacing/>
              <w:jc w:val="center"/>
              <w:rPr>
                <w:i/>
                <w:iCs/>
                <w:sz w:val="24"/>
                <w:szCs w:val="24"/>
              </w:rPr>
            </w:pPr>
            <w:r w:rsidRPr="004C6052">
              <w:rPr>
                <w:i/>
                <w:iCs/>
                <w:sz w:val="24"/>
                <w:szCs w:val="24"/>
              </w:rPr>
              <w:t>1,5</w:t>
            </w:r>
          </w:p>
        </w:tc>
        <w:tc>
          <w:tcPr>
            <w:tcW w:w="1134" w:type="dxa"/>
          </w:tcPr>
          <w:p w:rsidR="004C6052" w:rsidRPr="004C6052" w:rsidRDefault="004C6052" w:rsidP="008619A6">
            <w:pPr>
              <w:contextualSpacing/>
              <w:jc w:val="center"/>
              <w:rPr>
                <w:i/>
                <w:iCs/>
                <w:sz w:val="24"/>
                <w:szCs w:val="24"/>
              </w:rPr>
            </w:pPr>
            <w:r w:rsidRPr="004C6052">
              <w:rPr>
                <w:i/>
                <w:iCs/>
                <w:sz w:val="24"/>
                <w:szCs w:val="24"/>
              </w:rPr>
              <w:t>1,6</w:t>
            </w:r>
          </w:p>
        </w:tc>
        <w:tc>
          <w:tcPr>
            <w:tcW w:w="1134" w:type="dxa"/>
          </w:tcPr>
          <w:p w:rsidR="004C6052" w:rsidRPr="004C6052" w:rsidRDefault="004C6052" w:rsidP="008619A6">
            <w:pPr>
              <w:contextualSpacing/>
              <w:jc w:val="center"/>
              <w:rPr>
                <w:i/>
                <w:iCs/>
                <w:sz w:val="24"/>
                <w:szCs w:val="24"/>
              </w:rPr>
            </w:pPr>
            <w:r w:rsidRPr="004C6052">
              <w:rPr>
                <w:i/>
                <w:iCs/>
                <w:sz w:val="24"/>
                <w:szCs w:val="24"/>
              </w:rPr>
              <w:t>1,6</w:t>
            </w:r>
          </w:p>
        </w:tc>
        <w:tc>
          <w:tcPr>
            <w:tcW w:w="1437" w:type="dxa"/>
          </w:tcPr>
          <w:p w:rsidR="004C6052" w:rsidRPr="004C6052" w:rsidRDefault="004C6052" w:rsidP="008619A6">
            <w:pPr>
              <w:contextualSpacing/>
              <w:jc w:val="center"/>
              <w:rPr>
                <w:i/>
                <w:iCs/>
                <w:sz w:val="24"/>
                <w:szCs w:val="24"/>
              </w:rPr>
            </w:pPr>
            <w:r w:rsidRPr="004C6052">
              <w:rPr>
                <w:i/>
                <w:iCs/>
                <w:sz w:val="24"/>
                <w:szCs w:val="24"/>
              </w:rPr>
              <w:t>1,7</w:t>
            </w:r>
          </w:p>
        </w:tc>
      </w:tr>
      <w:tr w:rsidR="004C6052" w:rsidRPr="004C6052" w:rsidTr="00097BCE">
        <w:trPr>
          <w:trHeight w:val="308"/>
        </w:trPr>
        <w:tc>
          <w:tcPr>
            <w:tcW w:w="3526" w:type="dxa"/>
          </w:tcPr>
          <w:p w:rsidR="004C6052" w:rsidRPr="004C6052" w:rsidRDefault="004C6052" w:rsidP="008619A6">
            <w:pPr>
              <w:contextualSpacing/>
              <w:jc w:val="center"/>
              <w:rPr>
                <w:b/>
                <w:sz w:val="24"/>
                <w:szCs w:val="24"/>
              </w:rPr>
            </w:pPr>
            <w:r w:rsidRPr="004C6052">
              <w:rPr>
                <w:b/>
                <w:sz w:val="24"/>
                <w:szCs w:val="24"/>
              </w:rPr>
              <w:t>Количество судей</w:t>
            </w:r>
          </w:p>
        </w:tc>
        <w:tc>
          <w:tcPr>
            <w:tcW w:w="1241" w:type="dxa"/>
          </w:tcPr>
          <w:p w:rsidR="004C6052" w:rsidRPr="004C6052" w:rsidRDefault="004C6052" w:rsidP="008619A6">
            <w:pPr>
              <w:contextualSpacing/>
              <w:jc w:val="center"/>
              <w:rPr>
                <w:i/>
                <w:sz w:val="24"/>
                <w:szCs w:val="24"/>
              </w:rPr>
            </w:pPr>
            <w:r w:rsidRPr="004C6052">
              <w:rPr>
                <w:i/>
                <w:sz w:val="24"/>
                <w:szCs w:val="24"/>
              </w:rPr>
              <w:t>143</w:t>
            </w:r>
          </w:p>
        </w:tc>
        <w:tc>
          <w:tcPr>
            <w:tcW w:w="992" w:type="dxa"/>
          </w:tcPr>
          <w:p w:rsidR="004C6052" w:rsidRPr="004C6052" w:rsidRDefault="004C6052" w:rsidP="008619A6">
            <w:pPr>
              <w:contextualSpacing/>
              <w:jc w:val="center"/>
              <w:rPr>
                <w:i/>
                <w:sz w:val="24"/>
                <w:szCs w:val="24"/>
              </w:rPr>
            </w:pPr>
            <w:r w:rsidRPr="004C6052">
              <w:rPr>
                <w:i/>
                <w:sz w:val="24"/>
                <w:szCs w:val="24"/>
              </w:rPr>
              <w:t>143</w:t>
            </w:r>
          </w:p>
        </w:tc>
        <w:tc>
          <w:tcPr>
            <w:tcW w:w="1134" w:type="dxa"/>
          </w:tcPr>
          <w:p w:rsidR="004C6052" w:rsidRPr="004C6052" w:rsidRDefault="004C6052" w:rsidP="008619A6">
            <w:pPr>
              <w:contextualSpacing/>
              <w:jc w:val="center"/>
              <w:rPr>
                <w:i/>
                <w:sz w:val="24"/>
                <w:szCs w:val="24"/>
              </w:rPr>
            </w:pPr>
            <w:r w:rsidRPr="004C6052">
              <w:rPr>
                <w:i/>
                <w:sz w:val="24"/>
                <w:szCs w:val="24"/>
              </w:rPr>
              <w:t>143</w:t>
            </w:r>
          </w:p>
        </w:tc>
        <w:tc>
          <w:tcPr>
            <w:tcW w:w="1134" w:type="dxa"/>
          </w:tcPr>
          <w:p w:rsidR="004C6052" w:rsidRPr="004C6052" w:rsidRDefault="004C6052" w:rsidP="008619A6">
            <w:pPr>
              <w:contextualSpacing/>
              <w:jc w:val="center"/>
              <w:rPr>
                <w:i/>
                <w:sz w:val="24"/>
                <w:szCs w:val="24"/>
              </w:rPr>
            </w:pPr>
            <w:r w:rsidRPr="004C6052">
              <w:rPr>
                <w:i/>
                <w:sz w:val="24"/>
                <w:szCs w:val="24"/>
              </w:rPr>
              <w:t>143</w:t>
            </w:r>
          </w:p>
        </w:tc>
        <w:tc>
          <w:tcPr>
            <w:tcW w:w="1437" w:type="dxa"/>
          </w:tcPr>
          <w:p w:rsidR="004C6052" w:rsidRPr="004C6052" w:rsidRDefault="004C6052" w:rsidP="008619A6">
            <w:pPr>
              <w:tabs>
                <w:tab w:val="left" w:pos="240"/>
                <w:tab w:val="center" w:pos="485"/>
                <w:tab w:val="right" w:pos="971"/>
              </w:tabs>
              <w:contextualSpacing/>
              <w:jc w:val="center"/>
              <w:rPr>
                <w:i/>
                <w:sz w:val="24"/>
                <w:szCs w:val="24"/>
              </w:rPr>
            </w:pPr>
            <w:r w:rsidRPr="004C6052">
              <w:rPr>
                <w:i/>
                <w:sz w:val="24"/>
                <w:szCs w:val="24"/>
              </w:rPr>
              <w:t>144</w:t>
            </w:r>
          </w:p>
        </w:tc>
      </w:tr>
    </w:tbl>
    <w:p w:rsidR="004C6052" w:rsidRPr="004C6052" w:rsidRDefault="004C6052" w:rsidP="008619A6">
      <w:pPr>
        <w:ind w:firstLine="900"/>
        <w:contextualSpacing/>
        <w:jc w:val="both"/>
        <w:rPr>
          <w:sz w:val="24"/>
          <w:szCs w:val="24"/>
        </w:rPr>
      </w:pPr>
      <w:r w:rsidRPr="004C6052">
        <w:rPr>
          <w:sz w:val="28"/>
          <w:szCs w:val="28"/>
        </w:rPr>
        <w:t xml:space="preserve">                                                                                                   </w:t>
      </w:r>
      <w:r w:rsidRPr="004C6052">
        <w:rPr>
          <w:sz w:val="24"/>
          <w:szCs w:val="24"/>
        </w:rPr>
        <w:t>Таблица 5</w:t>
      </w:r>
    </w:p>
    <w:p w:rsidR="004C6052" w:rsidRDefault="004C6052" w:rsidP="008619A6">
      <w:pPr>
        <w:ind w:firstLine="900"/>
        <w:contextualSpacing/>
        <w:jc w:val="both"/>
        <w:rPr>
          <w:b/>
          <w:sz w:val="28"/>
          <w:szCs w:val="28"/>
          <w:u w:val="single"/>
        </w:rPr>
      </w:pPr>
    </w:p>
    <w:p w:rsidR="004C6052" w:rsidRPr="004C6052" w:rsidRDefault="004C6052" w:rsidP="008619A6">
      <w:pPr>
        <w:ind w:firstLine="900"/>
        <w:contextualSpacing/>
        <w:jc w:val="both"/>
        <w:rPr>
          <w:b/>
          <w:sz w:val="28"/>
          <w:szCs w:val="28"/>
          <w:u w:val="single"/>
        </w:rPr>
      </w:pPr>
      <w:r w:rsidRPr="004C6052">
        <w:rPr>
          <w:b/>
          <w:sz w:val="28"/>
          <w:szCs w:val="28"/>
          <w:u w:val="single"/>
        </w:rPr>
        <w:t>Уголовное судопроизводство</w:t>
      </w:r>
    </w:p>
    <w:p w:rsidR="004C6052" w:rsidRPr="004C6052" w:rsidRDefault="004C6052" w:rsidP="008619A6">
      <w:pPr>
        <w:ind w:firstLine="900"/>
        <w:contextualSpacing/>
        <w:jc w:val="both"/>
        <w:rPr>
          <w:sz w:val="28"/>
          <w:szCs w:val="28"/>
        </w:rPr>
      </w:pPr>
      <w:r w:rsidRPr="004C6052">
        <w:rPr>
          <w:sz w:val="28"/>
          <w:szCs w:val="28"/>
          <w:u w:val="single"/>
        </w:rPr>
        <w:t>Первая инстанция</w:t>
      </w:r>
      <w:r w:rsidR="00212241">
        <w:rPr>
          <w:sz w:val="28"/>
          <w:szCs w:val="28"/>
          <w:u w:val="single"/>
        </w:rPr>
        <w:t xml:space="preserve">. </w:t>
      </w:r>
      <w:r w:rsidRPr="004C6052">
        <w:rPr>
          <w:sz w:val="28"/>
          <w:szCs w:val="28"/>
        </w:rPr>
        <w:t xml:space="preserve">В течение 2013-2015 годов статистика свидетельствовала о ежегодном снижении количества поступивших и находившихся в производстве судей первой инстанции уголовных дел с 98 до 39. В 2016 году данный показателей вырос на 34%, а в отчетном периоде количество рассмотренных уголовных дел снизилось </w:t>
      </w:r>
      <w:r w:rsidR="006A7B80">
        <w:rPr>
          <w:sz w:val="28"/>
          <w:szCs w:val="28"/>
        </w:rPr>
        <w:t>на 49,2%</w:t>
      </w:r>
      <w:r w:rsidRPr="004C6052">
        <w:rPr>
          <w:sz w:val="28"/>
          <w:szCs w:val="28"/>
        </w:rPr>
        <w:t>.</w:t>
      </w:r>
      <w:r w:rsidR="006A7B80">
        <w:rPr>
          <w:sz w:val="28"/>
          <w:szCs w:val="28"/>
        </w:rPr>
        <w:t xml:space="preserve"> Несмотря на резкие колебания показателя в течение последних пяти лет наблюдается тенденция снижения количества уголовных дел, </w:t>
      </w:r>
      <w:r w:rsidR="001E2057">
        <w:rPr>
          <w:sz w:val="28"/>
          <w:szCs w:val="28"/>
        </w:rPr>
        <w:t>поступивших на рассмотрение в</w:t>
      </w:r>
      <w:r w:rsidR="006A7B80">
        <w:rPr>
          <w:sz w:val="28"/>
          <w:szCs w:val="28"/>
        </w:rPr>
        <w:t xml:space="preserve"> первой инстанции (см. Диаграмму 1).</w:t>
      </w:r>
    </w:p>
    <w:p w:rsidR="004C6052" w:rsidRDefault="004C6052" w:rsidP="008619A6">
      <w:pPr>
        <w:ind w:firstLine="900"/>
        <w:contextualSpacing/>
        <w:jc w:val="both"/>
        <w:rPr>
          <w:sz w:val="28"/>
          <w:szCs w:val="28"/>
        </w:rPr>
      </w:pPr>
      <w:r w:rsidRPr="004C6052">
        <w:rPr>
          <w:sz w:val="28"/>
          <w:szCs w:val="28"/>
        </w:rPr>
        <w:t>Изменение подсудности по уголовным делам против половой неприкосновенности, коррупционной и террористической направленности отразилось на количестве находившихся в производстве судей первой инстанции Верховного Суда Республики Татарстан уголовных дел.</w:t>
      </w:r>
    </w:p>
    <w:p w:rsidR="006A7B80" w:rsidRPr="00F64539" w:rsidRDefault="006A7B80" w:rsidP="008619A6">
      <w:pPr>
        <w:ind w:firstLine="900"/>
        <w:contextualSpacing/>
        <w:rPr>
          <w:sz w:val="28"/>
          <w:szCs w:val="28"/>
        </w:rPr>
      </w:pPr>
      <w:r>
        <w:rPr>
          <w:sz w:val="24"/>
          <w:szCs w:val="24"/>
        </w:rPr>
        <w:lastRenderedPageBreak/>
        <w:t xml:space="preserve">                                                                                                                    </w:t>
      </w:r>
      <w:r w:rsidRPr="005F18CB">
        <w:rPr>
          <w:sz w:val="24"/>
          <w:szCs w:val="24"/>
        </w:rPr>
        <w:t xml:space="preserve"> </w:t>
      </w:r>
      <w:r>
        <w:rPr>
          <w:sz w:val="24"/>
          <w:szCs w:val="24"/>
        </w:rPr>
        <w:t>Диаграмма 1</w:t>
      </w:r>
    </w:p>
    <w:p w:rsidR="006A7B80" w:rsidRDefault="006A7B80" w:rsidP="008619A6">
      <w:pPr>
        <w:ind w:firstLine="900"/>
        <w:contextualSpacing/>
        <w:jc w:val="both"/>
        <w:rPr>
          <w:sz w:val="32"/>
          <w:szCs w:val="28"/>
        </w:rPr>
      </w:pPr>
      <w:r>
        <w:rPr>
          <w:noProof/>
          <w:sz w:val="28"/>
          <w:szCs w:val="28"/>
        </w:rPr>
        <w:drawing>
          <wp:inline distT="0" distB="0" distL="0" distR="0" wp14:anchorId="7E458BF5" wp14:editId="4D173FDF">
            <wp:extent cx="4786183" cy="1804087"/>
            <wp:effectExtent l="0" t="0" r="14605" b="24765"/>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A932CB">
        <w:rPr>
          <w:sz w:val="32"/>
          <w:szCs w:val="28"/>
        </w:rPr>
        <w:t xml:space="preserve"> </w:t>
      </w:r>
    </w:p>
    <w:p w:rsidR="006A7B80" w:rsidRPr="00F9194B" w:rsidRDefault="006A7B80" w:rsidP="008619A6">
      <w:pPr>
        <w:ind w:firstLine="900"/>
        <w:contextualSpacing/>
        <w:jc w:val="both"/>
        <w:rPr>
          <w:sz w:val="28"/>
          <w:szCs w:val="28"/>
        </w:rPr>
      </w:pPr>
      <w:r w:rsidRPr="00055D4E">
        <w:rPr>
          <w:sz w:val="28"/>
          <w:szCs w:val="28"/>
        </w:rPr>
        <w:t>Как и прежде, большинство рассмотренных уголовных дел в 2017 году составляют дела об убийствах при отягчающих обстоятельствах. В целом суд</w:t>
      </w:r>
      <w:r w:rsidRPr="00055D4E">
        <w:rPr>
          <w:sz w:val="28"/>
          <w:szCs w:val="28"/>
        </w:rPr>
        <w:t>ь</w:t>
      </w:r>
      <w:r w:rsidRPr="00055D4E">
        <w:rPr>
          <w:sz w:val="28"/>
          <w:szCs w:val="28"/>
        </w:rPr>
        <w:t xml:space="preserve">ями первой инстанции </w:t>
      </w:r>
      <w:r w:rsidRPr="00F9194B">
        <w:rPr>
          <w:sz w:val="28"/>
          <w:szCs w:val="28"/>
        </w:rPr>
        <w:t xml:space="preserve">рассмотрены уголовные дела по следующим </w:t>
      </w:r>
      <w:r>
        <w:rPr>
          <w:sz w:val="28"/>
          <w:szCs w:val="28"/>
        </w:rPr>
        <w:t>статьям Уголовного кодекса Российской Федерации</w:t>
      </w:r>
      <w:r w:rsidRPr="00F9194B">
        <w:rPr>
          <w:sz w:val="28"/>
          <w:szCs w:val="28"/>
        </w:rPr>
        <w:t>:</w:t>
      </w:r>
    </w:p>
    <w:p w:rsidR="006A7B80" w:rsidRPr="00F9194B" w:rsidRDefault="006A7B80" w:rsidP="008619A6">
      <w:pPr>
        <w:numPr>
          <w:ilvl w:val="0"/>
          <w:numId w:val="1"/>
        </w:numPr>
        <w:contextualSpacing/>
        <w:jc w:val="both"/>
        <w:rPr>
          <w:sz w:val="28"/>
          <w:szCs w:val="28"/>
        </w:rPr>
      </w:pPr>
      <w:r>
        <w:rPr>
          <w:sz w:val="28"/>
          <w:szCs w:val="28"/>
        </w:rPr>
        <w:t xml:space="preserve"> </w:t>
      </w:r>
      <w:r w:rsidRPr="00F9194B">
        <w:rPr>
          <w:sz w:val="28"/>
          <w:szCs w:val="28"/>
        </w:rPr>
        <w:t>убийство (ст. 105 УК РФ) – 22 дела;</w:t>
      </w:r>
    </w:p>
    <w:p w:rsidR="006A7B80" w:rsidRPr="00F9194B" w:rsidRDefault="006A7B80" w:rsidP="008619A6">
      <w:pPr>
        <w:numPr>
          <w:ilvl w:val="0"/>
          <w:numId w:val="1"/>
        </w:numPr>
        <w:contextualSpacing/>
        <w:jc w:val="both"/>
        <w:rPr>
          <w:sz w:val="28"/>
          <w:szCs w:val="28"/>
        </w:rPr>
      </w:pPr>
      <w:r w:rsidRPr="00F9194B">
        <w:rPr>
          <w:sz w:val="28"/>
          <w:szCs w:val="28"/>
        </w:rPr>
        <w:t xml:space="preserve"> изнасилование (ст. 131 УК РФ) – 1 дело;</w:t>
      </w:r>
    </w:p>
    <w:p w:rsidR="006A7B80" w:rsidRDefault="006A7B80" w:rsidP="008619A6">
      <w:pPr>
        <w:numPr>
          <w:ilvl w:val="0"/>
          <w:numId w:val="1"/>
        </w:numPr>
        <w:contextualSpacing/>
        <w:jc w:val="both"/>
        <w:rPr>
          <w:sz w:val="28"/>
          <w:szCs w:val="28"/>
        </w:rPr>
      </w:pPr>
      <w:r>
        <w:rPr>
          <w:sz w:val="28"/>
          <w:szCs w:val="28"/>
        </w:rPr>
        <w:t xml:space="preserve"> </w:t>
      </w:r>
      <w:r w:rsidRPr="00F9194B">
        <w:rPr>
          <w:sz w:val="28"/>
          <w:szCs w:val="28"/>
        </w:rPr>
        <w:t>иные посягательства против половой неприкосновенности и половой свободы личности (ст. 132-135 УК РФ) – 1 д</w:t>
      </w:r>
      <w:r w:rsidRPr="00F9194B">
        <w:rPr>
          <w:sz w:val="28"/>
          <w:szCs w:val="28"/>
        </w:rPr>
        <w:t>е</w:t>
      </w:r>
      <w:r w:rsidRPr="00F9194B">
        <w:rPr>
          <w:sz w:val="28"/>
          <w:szCs w:val="28"/>
        </w:rPr>
        <w:t>ло;</w:t>
      </w:r>
    </w:p>
    <w:p w:rsidR="006A7B80" w:rsidRDefault="006A7B80" w:rsidP="008619A6">
      <w:pPr>
        <w:numPr>
          <w:ilvl w:val="0"/>
          <w:numId w:val="1"/>
        </w:numPr>
        <w:contextualSpacing/>
        <w:jc w:val="both"/>
        <w:rPr>
          <w:sz w:val="28"/>
          <w:szCs w:val="28"/>
        </w:rPr>
      </w:pPr>
      <w:r w:rsidRPr="00DB5A83">
        <w:rPr>
          <w:sz w:val="28"/>
          <w:szCs w:val="28"/>
        </w:rPr>
        <w:t xml:space="preserve"> незаконные действи</w:t>
      </w:r>
      <w:r>
        <w:rPr>
          <w:sz w:val="28"/>
          <w:szCs w:val="28"/>
        </w:rPr>
        <w:t xml:space="preserve">я с наркотическими средствами и </w:t>
      </w:r>
      <w:r w:rsidRPr="00DB5A83">
        <w:rPr>
          <w:sz w:val="28"/>
          <w:szCs w:val="28"/>
        </w:rPr>
        <w:t>психотропными вещ</w:t>
      </w:r>
      <w:r w:rsidRPr="00DB5A83">
        <w:rPr>
          <w:sz w:val="28"/>
          <w:szCs w:val="28"/>
        </w:rPr>
        <w:t>е</w:t>
      </w:r>
      <w:r w:rsidRPr="00DB5A83">
        <w:rPr>
          <w:sz w:val="28"/>
          <w:szCs w:val="28"/>
        </w:rPr>
        <w:t>ствами (ст. 228-234.1) -1 дело;</w:t>
      </w:r>
    </w:p>
    <w:p w:rsidR="006A7B80" w:rsidRDefault="006A7B80" w:rsidP="008619A6">
      <w:pPr>
        <w:numPr>
          <w:ilvl w:val="0"/>
          <w:numId w:val="1"/>
        </w:numPr>
        <w:contextualSpacing/>
        <w:jc w:val="both"/>
        <w:rPr>
          <w:sz w:val="28"/>
          <w:szCs w:val="28"/>
        </w:rPr>
      </w:pPr>
      <w:r>
        <w:rPr>
          <w:sz w:val="28"/>
          <w:szCs w:val="28"/>
        </w:rPr>
        <w:t xml:space="preserve"> </w:t>
      </w:r>
      <w:r w:rsidRPr="00DB5A83">
        <w:rPr>
          <w:sz w:val="28"/>
          <w:szCs w:val="28"/>
        </w:rPr>
        <w:t>другие преступления против интересов службы в органах власти и местного самоуправления (ст. 285-288, 291.1-293 УК РФ) – 1 дело;</w:t>
      </w:r>
    </w:p>
    <w:p w:rsidR="006A7B80" w:rsidRPr="00DB5A83" w:rsidRDefault="006A7B80" w:rsidP="008619A6">
      <w:pPr>
        <w:numPr>
          <w:ilvl w:val="0"/>
          <w:numId w:val="1"/>
        </w:numPr>
        <w:contextualSpacing/>
        <w:jc w:val="both"/>
        <w:rPr>
          <w:sz w:val="28"/>
          <w:szCs w:val="28"/>
        </w:rPr>
      </w:pPr>
      <w:r>
        <w:rPr>
          <w:sz w:val="28"/>
          <w:szCs w:val="28"/>
        </w:rPr>
        <w:t xml:space="preserve"> </w:t>
      </w:r>
      <w:r w:rsidRPr="00DB5A83">
        <w:rPr>
          <w:sz w:val="28"/>
          <w:szCs w:val="28"/>
        </w:rPr>
        <w:t>преступления против лиц, осуществляющих правосудие и предвар</w:t>
      </w:r>
      <w:r w:rsidRPr="00DB5A83">
        <w:rPr>
          <w:sz w:val="28"/>
          <w:szCs w:val="28"/>
        </w:rPr>
        <w:t>и</w:t>
      </w:r>
      <w:r w:rsidRPr="00DB5A83">
        <w:rPr>
          <w:sz w:val="28"/>
          <w:szCs w:val="28"/>
        </w:rPr>
        <w:t xml:space="preserve">тельное расследование, других представителей власти (ст. 294-298.1, 317-321 УК РФ) – 2 дела. </w:t>
      </w:r>
    </w:p>
    <w:p w:rsidR="006A7B80" w:rsidRPr="00F9194B" w:rsidRDefault="006A7B80" w:rsidP="008619A6">
      <w:pPr>
        <w:ind w:firstLine="900"/>
        <w:contextualSpacing/>
        <w:jc w:val="both"/>
        <w:rPr>
          <w:sz w:val="28"/>
          <w:szCs w:val="28"/>
        </w:rPr>
      </w:pPr>
      <w:r w:rsidRPr="00055D4E">
        <w:rPr>
          <w:sz w:val="28"/>
          <w:szCs w:val="28"/>
        </w:rPr>
        <w:t>Увеличение доли уголовных дел по убийствам в процентном соотнош</w:t>
      </w:r>
      <w:r w:rsidRPr="00055D4E">
        <w:rPr>
          <w:sz w:val="28"/>
          <w:szCs w:val="28"/>
        </w:rPr>
        <w:t>е</w:t>
      </w:r>
      <w:r w:rsidRPr="00055D4E">
        <w:rPr>
          <w:sz w:val="28"/>
          <w:szCs w:val="28"/>
        </w:rPr>
        <w:t>нии произошло вследствие изменения подсудности, приведшего к умен</w:t>
      </w:r>
      <w:r w:rsidRPr="00055D4E">
        <w:rPr>
          <w:sz w:val="28"/>
          <w:szCs w:val="28"/>
        </w:rPr>
        <w:t>ь</w:t>
      </w:r>
      <w:r w:rsidRPr="00055D4E">
        <w:rPr>
          <w:sz w:val="28"/>
          <w:szCs w:val="28"/>
        </w:rPr>
        <w:t>шению общего количества уголовных дел по всем категориям преступлений, пост</w:t>
      </w:r>
      <w:r w:rsidRPr="00055D4E">
        <w:rPr>
          <w:sz w:val="28"/>
          <w:szCs w:val="28"/>
        </w:rPr>
        <w:t>у</w:t>
      </w:r>
      <w:r w:rsidRPr="00055D4E">
        <w:rPr>
          <w:sz w:val="28"/>
          <w:szCs w:val="28"/>
        </w:rPr>
        <w:t>пивших в Верховный Суд Р</w:t>
      </w:r>
      <w:r>
        <w:rPr>
          <w:sz w:val="28"/>
          <w:szCs w:val="28"/>
        </w:rPr>
        <w:t xml:space="preserve">еспублики </w:t>
      </w:r>
      <w:r w:rsidRPr="00055D4E">
        <w:rPr>
          <w:sz w:val="28"/>
          <w:szCs w:val="28"/>
        </w:rPr>
        <w:t>Т</w:t>
      </w:r>
      <w:r>
        <w:rPr>
          <w:sz w:val="28"/>
          <w:szCs w:val="28"/>
        </w:rPr>
        <w:t>атарстан</w:t>
      </w:r>
      <w:r w:rsidRPr="00055D4E">
        <w:rPr>
          <w:sz w:val="28"/>
          <w:szCs w:val="28"/>
        </w:rPr>
        <w:t xml:space="preserve"> для рассмотрения, тогда как количество уголовных дел по убийствам осталось примерно на прежнем уровне.</w:t>
      </w:r>
    </w:p>
    <w:p w:rsidR="007B3ED4" w:rsidRDefault="006A7B80" w:rsidP="008619A6">
      <w:pPr>
        <w:ind w:firstLine="900"/>
        <w:contextualSpacing/>
        <w:jc w:val="both"/>
        <w:rPr>
          <w:sz w:val="28"/>
          <w:szCs w:val="28"/>
        </w:rPr>
      </w:pPr>
      <w:r w:rsidRPr="00F9194B">
        <w:rPr>
          <w:sz w:val="28"/>
          <w:szCs w:val="28"/>
        </w:rPr>
        <w:t xml:space="preserve">В 2017 году </w:t>
      </w:r>
      <w:r w:rsidR="00097BCE" w:rsidRPr="007B3ED4">
        <w:rPr>
          <w:sz w:val="28"/>
          <w:szCs w:val="28"/>
        </w:rPr>
        <w:t xml:space="preserve">на </w:t>
      </w:r>
      <w:r w:rsidR="007B3ED4" w:rsidRPr="007B3ED4">
        <w:rPr>
          <w:sz w:val="28"/>
          <w:szCs w:val="28"/>
        </w:rPr>
        <w:t>87,5</w:t>
      </w:r>
      <w:r w:rsidR="00097BCE" w:rsidRPr="007B3ED4">
        <w:rPr>
          <w:sz w:val="28"/>
          <w:szCs w:val="28"/>
        </w:rPr>
        <w:t xml:space="preserve">% </w:t>
      </w:r>
      <w:r w:rsidRPr="007B3ED4">
        <w:rPr>
          <w:sz w:val="28"/>
          <w:szCs w:val="28"/>
        </w:rPr>
        <w:t>сни</w:t>
      </w:r>
      <w:r w:rsidR="00097BCE" w:rsidRPr="007B3ED4">
        <w:rPr>
          <w:sz w:val="28"/>
          <w:szCs w:val="28"/>
        </w:rPr>
        <w:t>зилось</w:t>
      </w:r>
      <w:r w:rsidRPr="00F9194B">
        <w:rPr>
          <w:sz w:val="28"/>
          <w:szCs w:val="28"/>
        </w:rPr>
        <w:t xml:space="preserve"> количество </w:t>
      </w:r>
      <w:r w:rsidR="00097BCE">
        <w:rPr>
          <w:sz w:val="28"/>
          <w:szCs w:val="28"/>
        </w:rPr>
        <w:t xml:space="preserve">дел, </w:t>
      </w:r>
      <w:r w:rsidRPr="00F9194B">
        <w:rPr>
          <w:sz w:val="28"/>
          <w:szCs w:val="28"/>
        </w:rPr>
        <w:t>возвращенных прокур</w:t>
      </w:r>
      <w:r w:rsidRPr="00F9194B">
        <w:rPr>
          <w:sz w:val="28"/>
          <w:szCs w:val="28"/>
        </w:rPr>
        <w:t>о</w:t>
      </w:r>
      <w:r w:rsidRPr="00F9194B">
        <w:rPr>
          <w:sz w:val="28"/>
          <w:szCs w:val="28"/>
        </w:rPr>
        <w:t>ру в порядке ст. 237 УПК РФ, что свидетельствует о</w:t>
      </w:r>
      <w:r w:rsidR="007B3ED4">
        <w:rPr>
          <w:sz w:val="28"/>
          <w:szCs w:val="28"/>
        </w:rPr>
        <w:t>б</w:t>
      </w:r>
      <w:r w:rsidRPr="00F9194B">
        <w:rPr>
          <w:sz w:val="28"/>
          <w:szCs w:val="28"/>
        </w:rPr>
        <w:t xml:space="preserve"> улучшении качества предварительного следствия. </w:t>
      </w:r>
    </w:p>
    <w:p w:rsidR="007B3ED4" w:rsidRPr="00927695" w:rsidRDefault="007B3ED4" w:rsidP="008619A6">
      <w:pPr>
        <w:ind w:firstLine="900"/>
        <w:contextualSpacing/>
        <w:rPr>
          <w:sz w:val="24"/>
          <w:szCs w:val="24"/>
        </w:rPr>
      </w:pPr>
      <w:r w:rsidRPr="005F18CB">
        <w:rPr>
          <w:sz w:val="24"/>
          <w:szCs w:val="24"/>
        </w:rPr>
        <w:t xml:space="preserve">                                                                                                               </w:t>
      </w:r>
      <w:r>
        <w:rPr>
          <w:sz w:val="24"/>
          <w:szCs w:val="24"/>
        </w:rPr>
        <w:t xml:space="preserve">   </w:t>
      </w:r>
      <w:r w:rsidRPr="005F18CB">
        <w:rPr>
          <w:sz w:val="24"/>
          <w:szCs w:val="24"/>
        </w:rPr>
        <w:t xml:space="preserve">    </w:t>
      </w:r>
      <w:r>
        <w:rPr>
          <w:sz w:val="24"/>
          <w:szCs w:val="24"/>
        </w:rPr>
        <w:t xml:space="preserve">   </w:t>
      </w:r>
      <w:r w:rsidRPr="005F18CB">
        <w:rPr>
          <w:sz w:val="24"/>
          <w:szCs w:val="24"/>
        </w:rPr>
        <w:t xml:space="preserve">  Та</w:t>
      </w:r>
      <w:r w:rsidRPr="005F18CB">
        <w:rPr>
          <w:sz w:val="24"/>
          <w:szCs w:val="24"/>
        </w:rPr>
        <w:t>б</w:t>
      </w:r>
      <w:r>
        <w:rPr>
          <w:sz w:val="24"/>
          <w:szCs w:val="24"/>
        </w:rPr>
        <w:t>лица 6</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4"/>
        <w:gridCol w:w="884"/>
        <w:gridCol w:w="840"/>
        <w:gridCol w:w="916"/>
        <w:gridCol w:w="1080"/>
        <w:gridCol w:w="1076"/>
      </w:tblGrid>
      <w:tr w:rsidR="007B3ED4" w:rsidRPr="00DC3228" w:rsidTr="007C50D0">
        <w:trPr>
          <w:trHeight w:val="351"/>
        </w:trPr>
        <w:tc>
          <w:tcPr>
            <w:tcW w:w="8930" w:type="dxa"/>
            <w:gridSpan w:val="6"/>
            <w:tcBorders>
              <w:top w:val="double" w:sz="4" w:space="0" w:color="auto"/>
              <w:left w:val="double" w:sz="4" w:space="0" w:color="auto"/>
              <w:bottom w:val="single" w:sz="4" w:space="0" w:color="auto"/>
              <w:right w:val="double" w:sz="4" w:space="0" w:color="auto"/>
            </w:tcBorders>
            <w:shd w:val="clear" w:color="auto" w:fill="auto"/>
          </w:tcPr>
          <w:p w:rsidR="007B3ED4" w:rsidRPr="00DC3228" w:rsidRDefault="007B3ED4" w:rsidP="008619A6">
            <w:pPr>
              <w:contextualSpacing/>
              <w:jc w:val="center"/>
              <w:rPr>
                <w:b/>
                <w:sz w:val="24"/>
                <w:szCs w:val="24"/>
              </w:rPr>
            </w:pPr>
            <w:r w:rsidRPr="00DC3228">
              <w:rPr>
                <w:b/>
                <w:sz w:val="24"/>
                <w:szCs w:val="24"/>
              </w:rPr>
              <w:t xml:space="preserve">Количество </w:t>
            </w:r>
            <w:r>
              <w:rPr>
                <w:b/>
                <w:sz w:val="24"/>
                <w:szCs w:val="24"/>
              </w:rPr>
              <w:t>возвращенных</w:t>
            </w:r>
            <w:r w:rsidRPr="00DC3228">
              <w:rPr>
                <w:b/>
                <w:sz w:val="24"/>
                <w:szCs w:val="24"/>
              </w:rPr>
              <w:t xml:space="preserve"> </w:t>
            </w:r>
            <w:r>
              <w:rPr>
                <w:b/>
                <w:sz w:val="24"/>
                <w:szCs w:val="24"/>
              </w:rPr>
              <w:t xml:space="preserve">прокурору </w:t>
            </w:r>
            <w:r w:rsidRPr="00DC3228">
              <w:rPr>
                <w:b/>
                <w:sz w:val="24"/>
                <w:szCs w:val="24"/>
              </w:rPr>
              <w:t xml:space="preserve">уголовных </w:t>
            </w:r>
            <w:r>
              <w:rPr>
                <w:b/>
                <w:sz w:val="24"/>
                <w:szCs w:val="24"/>
              </w:rPr>
              <w:t>дел</w:t>
            </w:r>
          </w:p>
        </w:tc>
      </w:tr>
      <w:tr w:rsidR="007B3ED4" w:rsidRPr="00DC3228" w:rsidTr="007C50D0">
        <w:trPr>
          <w:trHeight w:val="284"/>
        </w:trPr>
        <w:tc>
          <w:tcPr>
            <w:tcW w:w="4134" w:type="dxa"/>
            <w:tcBorders>
              <w:left w:val="double" w:sz="4" w:space="0" w:color="auto"/>
              <w:bottom w:val="thickThinLargeGap" w:sz="24" w:space="0" w:color="auto"/>
            </w:tcBorders>
            <w:shd w:val="clear" w:color="auto" w:fill="auto"/>
          </w:tcPr>
          <w:p w:rsidR="007B3ED4" w:rsidRPr="00DC3228" w:rsidRDefault="007B3ED4" w:rsidP="008619A6">
            <w:pPr>
              <w:contextualSpacing/>
              <w:jc w:val="center"/>
              <w:rPr>
                <w:b/>
                <w:sz w:val="24"/>
                <w:szCs w:val="24"/>
              </w:rPr>
            </w:pPr>
          </w:p>
        </w:tc>
        <w:tc>
          <w:tcPr>
            <w:tcW w:w="884" w:type="dxa"/>
            <w:tcBorders>
              <w:bottom w:val="thickThinLargeGap" w:sz="24" w:space="0" w:color="auto"/>
            </w:tcBorders>
            <w:shd w:val="clear" w:color="auto" w:fill="auto"/>
          </w:tcPr>
          <w:p w:rsidR="007B3ED4" w:rsidRPr="00DC3228" w:rsidRDefault="007B3ED4" w:rsidP="008619A6">
            <w:pPr>
              <w:contextualSpacing/>
              <w:jc w:val="center"/>
              <w:rPr>
                <w:b/>
                <w:sz w:val="24"/>
                <w:szCs w:val="24"/>
              </w:rPr>
            </w:pPr>
            <w:r w:rsidRPr="00DC3228">
              <w:rPr>
                <w:b/>
                <w:sz w:val="24"/>
                <w:szCs w:val="24"/>
                <w:lang w:val="en-US"/>
              </w:rPr>
              <w:t>201</w:t>
            </w:r>
            <w:r>
              <w:rPr>
                <w:b/>
                <w:sz w:val="24"/>
                <w:szCs w:val="24"/>
              </w:rPr>
              <w:t>3</w:t>
            </w:r>
          </w:p>
        </w:tc>
        <w:tc>
          <w:tcPr>
            <w:tcW w:w="840" w:type="dxa"/>
            <w:tcBorders>
              <w:bottom w:val="thickThinLargeGap" w:sz="24" w:space="0" w:color="auto"/>
            </w:tcBorders>
            <w:shd w:val="clear" w:color="auto" w:fill="auto"/>
          </w:tcPr>
          <w:p w:rsidR="007B3ED4" w:rsidRPr="00DC3228" w:rsidRDefault="007B3ED4" w:rsidP="008619A6">
            <w:pPr>
              <w:contextualSpacing/>
              <w:jc w:val="center"/>
              <w:rPr>
                <w:b/>
                <w:sz w:val="24"/>
                <w:szCs w:val="24"/>
              </w:rPr>
            </w:pPr>
            <w:r w:rsidRPr="00DC3228">
              <w:rPr>
                <w:b/>
                <w:sz w:val="24"/>
                <w:szCs w:val="24"/>
              </w:rPr>
              <w:t>2</w:t>
            </w:r>
            <w:r>
              <w:rPr>
                <w:b/>
                <w:sz w:val="24"/>
                <w:szCs w:val="24"/>
              </w:rPr>
              <w:t>014</w:t>
            </w:r>
          </w:p>
        </w:tc>
        <w:tc>
          <w:tcPr>
            <w:tcW w:w="916" w:type="dxa"/>
            <w:tcBorders>
              <w:bottom w:val="thickThinLargeGap" w:sz="24" w:space="0" w:color="auto"/>
            </w:tcBorders>
            <w:shd w:val="clear" w:color="auto" w:fill="auto"/>
          </w:tcPr>
          <w:p w:rsidR="007B3ED4" w:rsidRPr="00DC3228" w:rsidRDefault="007B3ED4" w:rsidP="008619A6">
            <w:pPr>
              <w:contextualSpacing/>
              <w:jc w:val="center"/>
              <w:rPr>
                <w:b/>
                <w:sz w:val="24"/>
                <w:szCs w:val="24"/>
              </w:rPr>
            </w:pPr>
            <w:r>
              <w:rPr>
                <w:b/>
                <w:sz w:val="24"/>
                <w:szCs w:val="24"/>
              </w:rPr>
              <w:t>2015</w:t>
            </w:r>
          </w:p>
        </w:tc>
        <w:tc>
          <w:tcPr>
            <w:tcW w:w="1080" w:type="dxa"/>
            <w:tcBorders>
              <w:bottom w:val="thickThinLargeGap" w:sz="24" w:space="0" w:color="auto"/>
            </w:tcBorders>
            <w:shd w:val="clear" w:color="auto" w:fill="auto"/>
          </w:tcPr>
          <w:p w:rsidR="007B3ED4" w:rsidRPr="00DC3228" w:rsidRDefault="007B3ED4" w:rsidP="008619A6">
            <w:pPr>
              <w:contextualSpacing/>
              <w:jc w:val="center"/>
              <w:rPr>
                <w:b/>
                <w:sz w:val="24"/>
                <w:szCs w:val="24"/>
              </w:rPr>
            </w:pPr>
            <w:r>
              <w:rPr>
                <w:b/>
                <w:sz w:val="24"/>
                <w:szCs w:val="24"/>
              </w:rPr>
              <w:t>2016</w:t>
            </w:r>
          </w:p>
        </w:tc>
        <w:tc>
          <w:tcPr>
            <w:tcW w:w="1076" w:type="dxa"/>
            <w:tcBorders>
              <w:bottom w:val="thickThinLargeGap" w:sz="24" w:space="0" w:color="auto"/>
              <w:right w:val="double" w:sz="4" w:space="0" w:color="auto"/>
            </w:tcBorders>
            <w:shd w:val="clear" w:color="auto" w:fill="auto"/>
          </w:tcPr>
          <w:p w:rsidR="007B3ED4" w:rsidRPr="00DC3228" w:rsidRDefault="007B3ED4" w:rsidP="008619A6">
            <w:pPr>
              <w:contextualSpacing/>
              <w:jc w:val="center"/>
              <w:rPr>
                <w:b/>
                <w:sz w:val="24"/>
                <w:szCs w:val="24"/>
              </w:rPr>
            </w:pPr>
            <w:r>
              <w:rPr>
                <w:b/>
                <w:sz w:val="24"/>
                <w:szCs w:val="24"/>
              </w:rPr>
              <w:t>2017</w:t>
            </w:r>
          </w:p>
        </w:tc>
      </w:tr>
      <w:tr w:rsidR="007B3ED4" w:rsidRPr="00DC3228" w:rsidTr="007C50D0">
        <w:trPr>
          <w:trHeight w:val="313"/>
        </w:trPr>
        <w:tc>
          <w:tcPr>
            <w:tcW w:w="4134" w:type="dxa"/>
            <w:tcBorders>
              <w:top w:val="thickThinLargeGap" w:sz="24" w:space="0" w:color="auto"/>
              <w:left w:val="double" w:sz="4" w:space="0" w:color="auto"/>
            </w:tcBorders>
            <w:vAlign w:val="bottom"/>
          </w:tcPr>
          <w:p w:rsidR="007B3ED4" w:rsidRPr="00DC3228" w:rsidRDefault="007B3ED4" w:rsidP="008619A6">
            <w:pPr>
              <w:contextualSpacing/>
              <w:jc w:val="center"/>
              <w:rPr>
                <w:b/>
                <w:sz w:val="24"/>
                <w:szCs w:val="24"/>
              </w:rPr>
            </w:pPr>
            <w:r w:rsidRPr="00DC3228">
              <w:rPr>
                <w:b/>
                <w:sz w:val="24"/>
                <w:szCs w:val="24"/>
              </w:rPr>
              <w:t xml:space="preserve">Количество </w:t>
            </w:r>
            <w:r>
              <w:rPr>
                <w:b/>
                <w:sz w:val="24"/>
                <w:szCs w:val="24"/>
              </w:rPr>
              <w:t xml:space="preserve">рассмотренных </w:t>
            </w:r>
            <w:r w:rsidRPr="00DC3228">
              <w:rPr>
                <w:b/>
                <w:sz w:val="24"/>
                <w:szCs w:val="24"/>
              </w:rPr>
              <w:t>дел</w:t>
            </w:r>
          </w:p>
        </w:tc>
        <w:tc>
          <w:tcPr>
            <w:tcW w:w="884" w:type="dxa"/>
            <w:tcBorders>
              <w:top w:val="thickThinLargeGap" w:sz="24" w:space="0" w:color="auto"/>
            </w:tcBorders>
            <w:vAlign w:val="bottom"/>
          </w:tcPr>
          <w:p w:rsidR="007B3ED4" w:rsidRPr="00DC3228" w:rsidRDefault="007B3ED4" w:rsidP="008619A6">
            <w:pPr>
              <w:contextualSpacing/>
              <w:jc w:val="center"/>
              <w:rPr>
                <w:i/>
                <w:sz w:val="24"/>
                <w:szCs w:val="24"/>
              </w:rPr>
            </w:pPr>
            <w:r>
              <w:rPr>
                <w:i/>
                <w:sz w:val="24"/>
                <w:szCs w:val="24"/>
              </w:rPr>
              <w:t>93</w:t>
            </w:r>
          </w:p>
        </w:tc>
        <w:tc>
          <w:tcPr>
            <w:tcW w:w="840" w:type="dxa"/>
            <w:tcBorders>
              <w:top w:val="thickThinLargeGap" w:sz="24" w:space="0" w:color="auto"/>
            </w:tcBorders>
            <w:vAlign w:val="bottom"/>
          </w:tcPr>
          <w:p w:rsidR="007B3ED4" w:rsidRPr="00DC3228" w:rsidRDefault="007B3ED4" w:rsidP="008619A6">
            <w:pPr>
              <w:contextualSpacing/>
              <w:jc w:val="center"/>
              <w:rPr>
                <w:i/>
                <w:sz w:val="24"/>
                <w:szCs w:val="24"/>
              </w:rPr>
            </w:pPr>
            <w:r>
              <w:rPr>
                <w:i/>
                <w:sz w:val="24"/>
                <w:szCs w:val="24"/>
              </w:rPr>
              <w:t>74</w:t>
            </w:r>
          </w:p>
        </w:tc>
        <w:tc>
          <w:tcPr>
            <w:tcW w:w="916" w:type="dxa"/>
            <w:tcBorders>
              <w:top w:val="thickThinLargeGap" w:sz="24" w:space="0" w:color="auto"/>
            </w:tcBorders>
            <w:vAlign w:val="bottom"/>
          </w:tcPr>
          <w:p w:rsidR="007B3ED4" w:rsidRPr="00DC3228" w:rsidRDefault="007B3ED4" w:rsidP="008619A6">
            <w:pPr>
              <w:contextualSpacing/>
              <w:jc w:val="center"/>
              <w:rPr>
                <w:i/>
                <w:sz w:val="24"/>
                <w:szCs w:val="24"/>
              </w:rPr>
            </w:pPr>
            <w:r>
              <w:rPr>
                <w:i/>
                <w:sz w:val="24"/>
                <w:szCs w:val="24"/>
              </w:rPr>
              <w:t>48</w:t>
            </w:r>
          </w:p>
        </w:tc>
        <w:tc>
          <w:tcPr>
            <w:tcW w:w="1080" w:type="dxa"/>
            <w:tcBorders>
              <w:top w:val="thickThinLargeGap" w:sz="24" w:space="0" w:color="auto"/>
            </w:tcBorders>
            <w:vAlign w:val="bottom"/>
          </w:tcPr>
          <w:p w:rsidR="007B3ED4" w:rsidRPr="00DC3228" w:rsidRDefault="007B3ED4" w:rsidP="008619A6">
            <w:pPr>
              <w:contextualSpacing/>
              <w:jc w:val="center"/>
              <w:rPr>
                <w:i/>
                <w:sz w:val="24"/>
                <w:szCs w:val="24"/>
              </w:rPr>
            </w:pPr>
            <w:r>
              <w:rPr>
                <w:i/>
                <w:sz w:val="24"/>
                <w:szCs w:val="24"/>
              </w:rPr>
              <w:t>53</w:t>
            </w:r>
          </w:p>
        </w:tc>
        <w:tc>
          <w:tcPr>
            <w:tcW w:w="1076" w:type="dxa"/>
            <w:tcBorders>
              <w:top w:val="thickThinLargeGap" w:sz="24" w:space="0" w:color="auto"/>
              <w:right w:val="double" w:sz="4" w:space="0" w:color="auto"/>
            </w:tcBorders>
            <w:vAlign w:val="bottom"/>
          </w:tcPr>
          <w:p w:rsidR="007B3ED4" w:rsidRPr="00DC3228" w:rsidRDefault="007B3ED4" w:rsidP="008619A6">
            <w:pPr>
              <w:contextualSpacing/>
              <w:jc w:val="center"/>
              <w:rPr>
                <w:i/>
                <w:sz w:val="24"/>
                <w:szCs w:val="24"/>
              </w:rPr>
            </w:pPr>
            <w:r>
              <w:rPr>
                <w:i/>
                <w:sz w:val="24"/>
                <w:szCs w:val="24"/>
              </w:rPr>
              <w:t>34</w:t>
            </w:r>
          </w:p>
        </w:tc>
      </w:tr>
      <w:tr w:rsidR="007B3ED4" w:rsidRPr="00DC3228" w:rsidTr="007C50D0">
        <w:trPr>
          <w:trHeight w:val="428"/>
        </w:trPr>
        <w:tc>
          <w:tcPr>
            <w:tcW w:w="4134" w:type="dxa"/>
            <w:tcBorders>
              <w:top w:val="single" w:sz="4" w:space="0" w:color="auto"/>
              <w:left w:val="double" w:sz="4" w:space="0" w:color="auto"/>
              <w:bottom w:val="double" w:sz="4" w:space="0" w:color="auto"/>
            </w:tcBorders>
          </w:tcPr>
          <w:p w:rsidR="007B3ED4" w:rsidRPr="00DC3228" w:rsidRDefault="007B3ED4" w:rsidP="008619A6">
            <w:pPr>
              <w:contextualSpacing/>
              <w:jc w:val="center"/>
              <w:rPr>
                <w:b/>
                <w:sz w:val="24"/>
                <w:szCs w:val="24"/>
              </w:rPr>
            </w:pPr>
            <w:r>
              <w:rPr>
                <w:b/>
                <w:sz w:val="24"/>
                <w:szCs w:val="24"/>
              </w:rPr>
              <w:t>Количество возвращенных дел</w:t>
            </w:r>
          </w:p>
        </w:tc>
        <w:tc>
          <w:tcPr>
            <w:tcW w:w="884" w:type="dxa"/>
            <w:tcBorders>
              <w:top w:val="single" w:sz="4" w:space="0" w:color="auto"/>
              <w:bottom w:val="double" w:sz="4" w:space="0" w:color="auto"/>
            </w:tcBorders>
            <w:vAlign w:val="bottom"/>
          </w:tcPr>
          <w:p w:rsidR="007B3ED4" w:rsidRDefault="007B3ED4" w:rsidP="008619A6">
            <w:pPr>
              <w:contextualSpacing/>
              <w:jc w:val="center"/>
              <w:rPr>
                <w:b/>
                <w:i/>
              </w:rPr>
            </w:pPr>
            <w:r>
              <w:rPr>
                <w:b/>
                <w:i/>
              </w:rPr>
              <w:t>13</w:t>
            </w:r>
          </w:p>
        </w:tc>
        <w:tc>
          <w:tcPr>
            <w:tcW w:w="840" w:type="dxa"/>
            <w:tcBorders>
              <w:top w:val="single" w:sz="4" w:space="0" w:color="auto"/>
              <w:bottom w:val="double" w:sz="4" w:space="0" w:color="auto"/>
            </w:tcBorders>
            <w:vAlign w:val="bottom"/>
          </w:tcPr>
          <w:p w:rsidR="007B3ED4" w:rsidRDefault="007B3ED4" w:rsidP="008619A6">
            <w:pPr>
              <w:contextualSpacing/>
              <w:jc w:val="center"/>
              <w:rPr>
                <w:b/>
                <w:i/>
              </w:rPr>
            </w:pPr>
            <w:r>
              <w:rPr>
                <w:b/>
                <w:i/>
              </w:rPr>
              <w:t>12</w:t>
            </w:r>
          </w:p>
        </w:tc>
        <w:tc>
          <w:tcPr>
            <w:tcW w:w="916" w:type="dxa"/>
            <w:tcBorders>
              <w:top w:val="single" w:sz="4" w:space="0" w:color="auto"/>
              <w:bottom w:val="double" w:sz="4" w:space="0" w:color="auto"/>
            </w:tcBorders>
            <w:vAlign w:val="bottom"/>
          </w:tcPr>
          <w:p w:rsidR="007B3ED4" w:rsidRDefault="007B3ED4" w:rsidP="008619A6">
            <w:pPr>
              <w:contextualSpacing/>
              <w:jc w:val="center"/>
              <w:rPr>
                <w:b/>
                <w:i/>
              </w:rPr>
            </w:pPr>
            <w:r>
              <w:rPr>
                <w:b/>
                <w:i/>
              </w:rPr>
              <w:t>11</w:t>
            </w:r>
          </w:p>
        </w:tc>
        <w:tc>
          <w:tcPr>
            <w:tcW w:w="1080" w:type="dxa"/>
            <w:tcBorders>
              <w:top w:val="single" w:sz="4" w:space="0" w:color="auto"/>
              <w:bottom w:val="double" w:sz="4" w:space="0" w:color="auto"/>
            </w:tcBorders>
            <w:vAlign w:val="bottom"/>
          </w:tcPr>
          <w:p w:rsidR="007B3ED4" w:rsidRDefault="007B3ED4" w:rsidP="008619A6">
            <w:pPr>
              <w:contextualSpacing/>
              <w:jc w:val="center"/>
              <w:rPr>
                <w:b/>
                <w:i/>
              </w:rPr>
            </w:pPr>
            <w:r>
              <w:rPr>
                <w:b/>
                <w:i/>
              </w:rPr>
              <w:t>8</w:t>
            </w:r>
          </w:p>
        </w:tc>
        <w:tc>
          <w:tcPr>
            <w:tcW w:w="1076" w:type="dxa"/>
            <w:tcBorders>
              <w:top w:val="single" w:sz="4" w:space="0" w:color="auto"/>
              <w:bottom w:val="double" w:sz="4" w:space="0" w:color="auto"/>
              <w:right w:val="double" w:sz="4" w:space="0" w:color="auto"/>
            </w:tcBorders>
            <w:vAlign w:val="bottom"/>
          </w:tcPr>
          <w:p w:rsidR="007B3ED4" w:rsidRDefault="007B3ED4" w:rsidP="008619A6">
            <w:pPr>
              <w:contextualSpacing/>
              <w:jc w:val="center"/>
              <w:rPr>
                <w:b/>
                <w:i/>
              </w:rPr>
            </w:pPr>
            <w:r>
              <w:rPr>
                <w:b/>
                <w:i/>
              </w:rPr>
              <w:t>1</w:t>
            </w:r>
          </w:p>
        </w:tc>
      </w:tr>
      <w:tr w:rsidR="007B3ED4" w:rsidRPr="00DC3228" w:rsidTr="007C50D0">
        <w:trPr>
          <w:trHeight w:val="428"/>
        </w:trPr>
        <w:tc>
          <w:tcPr>
            <w:tcW w:w="4134" w:type="dxa"/>
            <w:tcBorders>
              <w:top w:val="single" w:sz="4" w:space="0" w:color="auto"/>
              <w:left w:val="double" w:sz="4" w:space="0" w:color="auto"/>
              <w:bottom w:val="double" w:sz="4" w:space="0" w:color="auto"/>
            </w:tcBorders>
          </w:tcPr>
          <w:p w:rsidR="007B3ED4" w:rsidRPr="00DC3228" w:rsidRDefault="007B3ED4" w:rsidP="008619A6">
            <w:pPr>
              <w:contextualSpacing/>
              <w:jc w:val="center"/>
              <w:rPr>
                <w:b/>
                <w:sz w:val="24"/>
                <w:szCs w:val="24"/>
              </w:rPr>
            </w:pPr>
            <w:r w:rsidRPr="00DC3228">
              <w:rPr>
                <w:b/>
                <w:sz w:val="24"/>
                <w:szCs w:val="24"/>
              </w:rPr>
              <w:t>Доля в общем количестве рассмо</w:t>
            </w:r>
            <w:r w:rsidRPr="00DC3228">
              <w:rPr>
                <w:b/>
                <w:sz w:val="24"/>
                <w:szCs w:val="24"/>
              </w:rPr>
              <w:t>т</w:t>
            </w:r>
            <w:r w:rsidRPr="00DC3228">
              <w:rPr>
                <w:b/>
                <w:sz w:val="24"/>
                <w:szCs w:val="24"/>
              </w:rPr>
              <w:t>ренных уголовных дел</w:t>
            </w:r>
            <w:proofErr w:type="gramStart"/>
            <w:r w:rsidRPr="00DC3228">
              <w:rPr>
                <w:b/>
                <w:sz w:val="24"/>
                <w:szCs w:val="24"/>
              </w:rPr>
              <w:t xml:space="preserve"> </w:t>
            </w:r>
            <w:r>
              <w:rPr>
                <w:b/>
                <w:sz w:val="24"/>
                <w:szCs w:val="24"/>
              </w:rPr>
              <w:t>(</w:t>
            </w:r>
            <w:r w:rsidRPr="00DC3228">
              <w:rPr>
                <w:b/>
                <w:sz w:val="24"/>
                <w:szCs w:val="24"/>
              </w:rPr>
              <w:t>%)</w:t>
            </w:r>
            <w:proofErr w:type="gramEnd"/>
          </w:p>
        </w:tc>
        <w:tc>
          <w:tcPr>
            <w:tcW w:w="884" w:type="dxa"/>
            <w:tcBorders>
              <w:top w:val="single" w:sz="4" w:space="0" w:color="auto"/>
              <w:bottom w:val="double" w:sz="4" w:space="0" w:color="auto"/>
            </w:tcBorders>
            <w:vAlign w:val="bottom"/>
          </w:tcPr>
          <w:p w:rsidR="007B3ED4" w:rsidRPr="00DC3228" w:rsidRDefault="00DC1263" w:rsidP="008619A6">
            <w:pPr>
              <w:contextualSpacing/>
              <w:jc w:val="center"/>
              <w:rPr>
                <w:b/>
                <w:i/>
              </w:rPr>
            </w:pPr>
            <w:r>
              <w:rPr>
                <w:b/>
                <w:i/>
              </w:rPr>
              <w:t>14,0</w:t>
            </w:r>
          </w:p>
        </w:tc>
        <w:tc>
          <w:tcPr>
            <w:tcW w:w="840" w:type="dxa"/>
            <w:tcBorders>
              <w:top w:val="single" w:sz="4" w:space="0" w:color="auto"/>
              <w:bottom w:val="double" w:sz="4" w:space="0" w:color="auto"/>
            </w:tcBorders>
            <w:vAlign w:val="bottom"/>
          </w:tcPr>
          <w:p w:rsidR="007B3ED4" w:rsidRPr="00DC3228" w:rsidRDefault="007B3ED4" w:rsidP="008619A6">
            <w:pPr>
              <w:contextualSpacing/>
              <w:jc w:val="center"/>
              <w:rPr>
                <w:b/>
                <w:i/>
              </w:rPr>
            </w:pPr>
            <w:r>
              <w:rPr>
                <w:b/>
                <w:i/>
              </w:rPr>
              <w:t>16,2</w:t>
            </w:r>
          </w:p>
        </w:tc>
        <w:tc>
          <w:tcPr>
            <w:tcW w:w="916" w:type="dxa"/>
            <w:tcBorders>
              <w:top w:val="single" w:sz="4" w:space="0" w:color="auto"/>
              <w:bottom w:val="double" w:sz="4" w:space="0" w:color="auto"/>
            </w:tcBorders>
            <w:vAlign w:val="bottom"/>
          </w:tcPr>
          <w:p w:rsidR="007B3ED4" w:rsidRPr="00DC3228" w:rsidRDefault="007B3ED4" w:rsidP="008619A6">
            <w:pPr>
              <w:contextualSpacing/>
              <w:jc w:val="center"/>
              <w:rPr>
                <w:b/>
                <w:i/>
              </w:rPr>
            </w:pPr>
            <w:r>
              <w:rPr>
                <w:b/>
                <w:i/>
              </w:rPr>
              <w:t>22,9</w:t>
            </w:r>
          </w:p>
        </w:tc>
        <w:tc>
          <w:tcPr>
            <w:tcW w:w="1080" w:type="dxa"/>
            <w:tcBorders>
              <w:top w:val="single" w:sz="4" w:space="0" w:color="auto"/>
              <w:bottom w:val="double" w:sz="4" w:space="0" w:color="auto"/>
            </w:tcBorders>
            <w:vAlign w:val="bottom"/>
          </w:tcPr>
          <w:p w:rsidR="007B3ED4" w:rsidRPr="00DC3228" w:rsidRDefault="007B3ED4" w:rsidP="008619A6">
            <w:pPr>
              <w:contextualSpacing/>
              <w:jc w:val="center"/>
              <w:rPr>
                <w:b/>
                <w:i/>
              </w:rPr>
            </w:pPr>
            <w:r>
              <w:rPr>
                <w:b/>
                <w:i/>
              </w:rPr>
              <w:t>15</w:t>
            </w:r>
            <w:r w:rsidR="00DC1263">
              <w:rPr>
                <w:b/>
                <w:i/>
              </w:rPr>
              <w:t>,1</w:t>
            </w:r>
          </w:p>
        </w:tc>
        <w:tc>
          <w:tcPr>
            <w:tcW w:w="1076" w:type="dxa"/>
            <w:tcBorders>
              <w:top w:val="single" w:sz="4" w:space="0" w:color="auto"/>
              <w:bottom w:val="double" w:sz="4" w:space="0" w:color="auto"/>
              <w:right w:val="double" w:sz="4" w:space="0" w:color="auto"/>
            </w:tcBorders>
            <w:vAlign w:val="bottom"/>
          </w:tcPr>
          <w:p w:rsidR="007B3ED4" w:rsidRPr="00DC3228" w:rsidRDefault="007B3ED4" w:rsidP="008619A6">
            <w:pPr>
              <w:contextualSpacing/>
              <w:jc w:val="center"/>
              <w:rPr>
                <w:b/>
                <w:i/>
              </w:rPr>
            </w:pPr>
            <w:r>
              <w:rPr>
                <w:b/>
                <w:i/>
              </w:rPr>
              <w:t>2,9</w:t>
            </w:r>
          </w:p>
        </w:tc>
      </w:tr>
    </w:tbl>
    <w:p w:rsidR="006A7B80" w:rsidRDefault="007B3ED4" w:rsidP="008619A6">
      <w:pPr>
        <w:ind w:firstLine="851"/>
        <w:contextualSpacing/>
        <w:jc w:val="both"/>
        <w:rPr>
          <w:sz w:val="28"/>
          <w:szCs w:val="28"/>
        </w:rPr>
      </w:pPr>
      <w:r>
        <w:rPr>
          <w:sz w:val="28"/>
          <w:szCs w:val="28"/>
        </w:rPr>
        <w:t>Данные, представленные в Таблице 6</w:t>
      </w:r>
      <w:r w:rsidR="00212241">
        <w:rPr>
          <w:sz w:val="28"/>
          <w:szCs w:val="28"/>
        </w:rPr>
        <w:t>,</w:t>
      </w:r>
      <w:r>
        <w:rPr>
          <w:sz w:val="28"/>
          <w:szCs w:val="28"/>
        </w:rPr>
        <w:t xml:space="preserve"> демонстрируют сложившуюся с 2013 года тенденцию снижения количества дел, возвращенных прокурору</w:t>
      </w:r>
      <w:r w:rsidR="00DC1263">
        <w:rPr>
          <w:sz w:val="28"/>
          <w:szCs w:val="28"/>
        </w:rPr>
        <w:t>,</w:t>
      </w:r>
      <w:r>
        <w:rPr>
          <w:sz w:val="28"/>
          <w:szCs w:val="28"/>
        </w:rPr>
        <w:t xml:space="preserve"> как в абсолютном, так и в относительном исчислении. </w:t>
      </w:r>
    </w:p>
    <w:p w:rsidR="006A7B80" w:rsidRPr="00FF05BE" w:rsidRDefault="006A7B80" w:rsidP="008619A6">
      <w:pPr>
        <w:ind w:firstLine="900"/>
        <w:contextualSpacing/>
        <w:jc w:val="both"/>
        <w:rPr>
          <w:sz w:val="28"/>
          <w:szCs w:val="28"/>
        </w:rPr>
      </w:pPr>
      <w:r w:rsidRPr="00FF05BE">
        <w:rPr>
          <w:sz w:val="28"/>
          <w:szCs w:val="28"/>
        </w:rPr>
        <w:lastRenderedPageBreak/>
        <w:t>В 2017 году в Верховном Суде Р</w:t>
      </w:r>
      <w:r>
        <w:rPr>
          <w:sz w:val="28"/>
          <w:szCs w:val="28"/>
        </w:rPr>
        <w:t xml:space="preserve">еспублики </w:t>
      </w:r>
      <w:r w:rsidRPr="00FF05BE">
        <w:rPr>
          <w:sz w:val="28"/>
          <w:szCs w:val="28"/>
        </w:rPr>
        <w:t>Т</w:t>
      </w:r>
      <w:r>
        <w:rPr>
          <w:sz w:val="28"/>
          <w:szCs w:val="28"/>
        </w:rPr>
        <w:t>атарстан</w:t>
      </w:r>
      <w:r w:rsidRPr="00FF05BE">
        <w:rPr>
          <w:sz w:val="28"/>
          <w:szCs w:val="28"/>
        </w:rPr>
        <w:t xml:space="preserve"> уголовные дела рассматривались </w:t>
      </w:r>
      <w:r w:rsidR="007B3ED4">
        <w:rPr>
          <w:sz w:val="28"/>
          <w:szCs w:val="28"/>
        </w:rPr>
        <w:t xml:space="preserve">как </w:t>
      </w:r>
      <w:r w:rsidRPr="00FF05BE">
        <w:rPr>
          <w:sz w:val="28"/>
          <w:szCs w:val="28"/>
        </w:rPr>
        <w:t>с участием присяжных заседателей</w:t>
      </w:r>
      <w:r w:rsidR="007B3ED4">
        <w:rPr>
          <w:sz w:val="28"/>
          <w:szCs w:val="28"/>
        </w:rPr>
        <w:t xml:space="preserve">, так </w:t>
      </w:r>
      <w:r w:rsidRPr="00FF05BE">
        <w:rPr>
          <w:sz w:val="28"/>
          <w:szCs w:val="28"/>
        </w:rPr>
        <w:t xml:space="preserve">и </w:t>
      </w:r>
      <w:r w:rsidR="007B3ED4" w:rsidRPr="00FF05BE">
        <w:rPr>
          <w:sz w:val="28"/>
          <w:szCs w:val="28"/>
        </w:rPr>
        <w:t xml:space="preserve">единолично </w:t>
      </w:r>
      <w:r w:rsidRPr="00FF05BE">
        <w:rPr>
          <w:sz w:val="28"/>
          <w:szCs w:val="28"/>
        </w:rPr>
        <w:t>судьями.</w:t>
      </w:r>
    </w:p>
    <w:p w:rsidR="006A7B80" w:rsidRDefault="007B3ED4" w:rsidP="008619A6">
      <w:pPr>
        <w:ind w:firstLine="900"/>
        <w:contextualSpacing/>
        <w:jc w:val="both"/>
        <w:rPr>
          <w:sz w:val="28"/>
          <w:szCs w:val="28"/>
        </w:rPr>
      </w:pPr>
      <w:proofErr w:type="gramStart"/>
      <w:r>
        <w:rPr>
          <w:sz w:val="28"/>
          <w:szCs w:val="28"/>
        </w:rPr>
        <w:t xml:space="preserve">В </w:t>
      </w:r>
      <w:r w:rsidR="006A7B80" w:rsidRPr="00FF05BE">
        <w:rPr>
          <w:sz w:val="28"/>
          <w:szCs w:val="28"/>
        </w:rPr>
        <w:t>отчетн</w:t>
      </w:r>
      <w:r>
        <w:rPr>
          <w:sz w:val="28"/>
          <w:szCs w:val="28"/>
        </w:rPr>
        <w:t>ом</w:t>
      </w:r>
      <w:r w:rsidR="006A7B80" w:rsidRPr="00FF05BE">
        <w:rPr>
          <w:sz w:val="28"/>
          <w:szCs w:val="28"/>
        </w:rPr>
        <w:t xml:space="preserve"> период</w:t>
      </w:r>
      <w:r>
        <w:rPr>
          <w:sz w:val="28"/>
          <w:szCs w:val="28"/>
        </w:rPr>
        <w:t>е</w:t>
      </w:r>
      <w:r w:rsidR="006A7B80" w:rsidRPr="00FF05BE">
        <w:rPr>
          <w:sz w:val="28"/>
          <w:szCs w:val="28"/>
        </w:rPr>
        <w:t xml:space="preserve"> поступило 4 уголовных дела</w:t>
      </w:r>
      <w:r w:rsidR="007254EE" w:rsidRPr="007254EE">
        <w:rPr>
          <w:sz w:val="28"/>
          <w:szCs w:val="28"/>
        </w:rPr>
        <w:t xml:space="preserve"> </w:t>
      </w:r>
      <w:r w:rsidR="007254EE">
        <w:rPr>
          <w:sz w:val="28"/>
          <w:szCs w:val="28"/>
        </w:rPr>
        <w:t xml:space="preserve">с ходатайством обвиняемых о рассмотрении дел </w:t>
      </w:r>
      <w:r w:rsidR="00AD1451">
        <w:rPr>
          <w:sz w:val="28"/>
          <w:szCs w:val="28"/>
        </w:rPr>
        <w:t xml:space="preserve">с </w:t>
      </w:r>
      <w:r w:rsidR="007254EE">
        <w:rPr>
          <w:sz w:val="28"/>
          <w:szCs w:val="28"/>
        </w:rPr>
        <w:t>участием присяжных заседателей.</w:t>
      </w:r>
      <w:r>
        <w:rPr>
          <w:sz w:val="28"/>
          <w:szCs w:val="28"/>
        </w:rPr>
        <w:t>.</w:t>
      </w:r>
      <w:r w:rsidR="006A7B80" w:rsidRPr="00FF05BE">
        <w:rPr>
          <w:sz w:val="28"/>
          <w:szCs w:val="28"/>
        </w:rPr>
        <w:t xml:space="preserve"> </w:t>
      </w:r>
      <w:r>
        <w:rPr>
          <w:sz w:val="28"/>
          <w:szCs w:val="28"/>
        </w:rPr>
        <w:t>И</w:t>
      </w:r>
      <w:r w:rsidR="006A7B80" w:rsidRPr="00FF05BE">
        <w:rPr>
          <w:sz w:val="28"/>
          <w:szCs w:val="28"/>
        </w:rPr>
        <w:t xml:space="preserve">з них 2 дела в отношении 5 лиц рассмотрено по существу, </w:t>
      </w:r>
      <w:r w:rsidR="007254EE">
        <w:rPr>
          <w:sz w:val="28"/>
          <w:szCs w:val="28"/>
        </w:rPr>
        <w:t>другие 2</w:t>
      </w:r>
      <w:r w:rsidR="006A7B80" w:rsidRPr="00FF05BE">
        <w:rPr>
          <w:sz w:val="28"/>
          <w:szCs w:val="28"/>
        </w:rPr>
        <w:t xml:space="preserve"> в отношении 10 лиц переданы по подсудности</w:t>
      </w:r>
      <w:r w:rsidR="00DC1263">
        <w:rPr>
          <w:sz w:val="28"/>
          <w:szCs w:val="28"/>
        </w:rPr>
        <w:t>, что с</w:t>
      </w:r>
      <w:r w:rsidR="006A7B80" w:rsidRPr="00FF05BE">
        <w:rPr>
          <w:sz w:val="28"/>
          <w:szCs w:val="28"/>
        </w:rPr>
        <w:t>вяз</w:t>
      </w:r>
      <w:r w:rsidR="00DC1263">
        <w:rPr>
          <w:sz w:val="28"/>
          <w:szCs w:val="28"/>
        </w:rPr>
        <w:t>ано</w:t>
      </w:r>
      <w:r w:rsidR="006A7B80" w:rsidRPr="00FF05BE">
        <w:rPr>
          <w:sz w:val="28"/>
          <w:szCs w:val="28"/>
        </w:rPr>
        <w:t xml:space="preserve"> с истечением сроков давности</w:t>
      </w:r>
      <w:r w:rsidR="00DC1263">
        <w:rPr>
          <w:sz w:val="28"/>
          <w:szCs w:val="28"/>
        </w:rPr>
        <w:t>, а также</w:t>
      </w:r>
      <w:r w:rsidR="006A7B80" w:rsidRPr="00FF05BE">
        <w:rPr>
          <w:sz w:val="28"/>
          <w:szCs w:val="28"/>
        </w:rPr>
        <w:t xml:space="preserve"> с переквалификацией действий подсудим</w:t>
      </w:r>
      <w:r w:rsidR="00DC1263">
        <w:rPr>
          <w:sz w:val="28"/>
          <w:szCs w:val="28"/>
        </w:rPr>
        <w:t>ых</w:t>
      </w:r>
      <w:r w:rsidR="006A7B80" w:rsidRPr="00FF05BE">
        <w:rPr>
          <w:sz w:val="28"/>
          <w:szCs w:val="28"/>
        </w:rPr>
        <w:t xml:space="preserve"> на менее тяжкий состав.</w:t>
      </w:r>
      <w:proofErr w:type="gramEnd"/>
      <w:r w:rsidR="006A7B80" w:rsidRPr="00FF05BE">
        <w:rPr>
          <w:sz w:val="28"/>
          <w:szCs w:val="28"/>
        </w:rPr>
        <w:t xml:space="preserve"> В сравнении с 2016 годом количество рассмотренных дел уменьшилось вдвое. </w:t>
      </w:r>
      <w:r w:rsidR="00195FFB">
        <w:rPr>
          <w:sz w:val="28"/>
          <w:szCs w:val="28"/>
        </w:rPr>
        <w:t xml:space="preserve">В сравнении же с 2013 годом наблюдается десятикратное уменьшение таких дел. </w:t>
      </w:r>
      <w:r w:rsidR="000A0009">
        <w:rPr>
          <w:sz w:val="28"/>
          <w:szCs w:val="28"/>
        </w:rPr>
        <w:t>Однако</w:t>
      </w:r>
      <w:r w:rsidR="006A7B80" w:rsidRPr="00FF05BE">
        <w:rPr>
          <w:sz w:val="28"/>
          <w:szCs w:val="28"/>
        </w:rPr>
        <w:t xml:space="preserve"> сложность и объемность уголовных дел</w:t>
      </w:r>
      <w:r w:rsidR="000A0009">
        <w:rPr>
          <w:sz w:val="28"/>
          <w:szCs w:val="28"/>
        </w:rPr>
        <w:t>, рассматриваемых с участием присяжных,</w:t>
      </w:r>
      <w:r w:rsidR="006A7B80" w:rsidRPr="00FF05BE">
        <w:rPr>
          <w:sz w:val="28"/>
          <w:szCs w:val="28"/>
        </w:rPr>
        <w:t xml:space="preserve"> остаются неизменными и </w:t>
      </w:r>
      <w:r w:rsidR="000A0009">
        <w:rPr>
          <w:sz w:val="28"/>
          <w:szCs w:val="28"/>
        </w:rPr>
        <w:t>соз</w:t>
      </w:r>
      <w:r w:rsidR="006A7B80" w:rsidRPr="00FF05BE">
        <w:rPr>
          <w:sz w:val="28"/>
          <w:szCs w:val="28"/>
        </w:rPr>
        <w:t>дают дополнительную нагрузку на судей.</w:t>
      </w:r>
    </w:p>
    <w:p w:rsidR="006A7B80" w:rsidRPr="00927695" w:rsidRDefault="006A7B80" w:rsidP="008619A6">
      <w:pPr>
        <w:ind w:firstLine="900"/>
        <w:contextualSpacing/>
        <w:rPr>
          <w:sz w:val="24"/>
          <w:szCs w:val="24"/>
        </w:rPr>
      </w:pPr>
      <w:r w:rsidRPr="005F18CB">
        <w:rPr>
          <w:sz w:val="24"/>
          <w:szCs w:val="24"/>
        </w:rPr>
        <w:t xml:space="preserve">                                                                                                              </w:t>
      </w:r>
      <w:r>
        <w:rPr>
          <w:sz w:val="24"/>
          <w:szCs w:val="24"/>
        </w:rPr>
        <w:t xml:space="preserve">    </w:t>
      </w:r>
      <w:r w:rsidRPr="005F18CB">
        <w:rPr>
          <w:sz w:val="24"/>
          <w:szCs w:val="24"/>
        </w:rPr>
        <w:t xml:space="preserve">    </w:t>
      </w:r>
      <w:r w:rsidRPr="00F46C7B">
        <w:rPr>
          <w:sz w:val="24"/>
          <w:szCs w:val="24"/>
        </w:rPr>
        <w:t>Диаграмма 2</w:t>
      </w:r>
    </w:p>
    <w:p w:rsidR="006A7B80" w:rsidRDefault="006A7B80" w:rsidP="008619A6">
      <w:pPr>
        <w:ind w:firstLine="900"/>
        <w:contextualSpacing/>
        <w:jc w:val="both"/>
        <w:rPr>
          <w:sz w:val="32"/>
          <w:szCs w:val="32"/>
        </w:rPr>
      </w:pPr>
      <w:r>
        <w:rPr>
          <w:noProof/>
          <w:sz w:val="28"/>
          <w:szCs w:val="28"/>
        </w:rPr>
        <w:drawing>
          <wp:inline distT="0" distB="0" distL="0" distR="0" wp14:anchorId="0FFA303F" wp14:editId="0C199963">
            <wp:extent cx="4712043" cy="2075935"/>
            <wp:effectExtent l="0" t="0" r="12700" b="19685"/>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95FFB" w:rsidRDefault="00195FFB" w:rsidP="008619A6">
      <w:pPr>
        <w:ind w:firstLine="900"/>
        <w:contextualSpacing/>
        <w:jc w:val="both"/>
        <w:rPr>
          <w:sz w:val="28"/>
          <w:szCs w:val="28"/>
        </w:rPr>
      </w:pPr>
    </w:p>
    <w:p w:rsidR="006A7B80" w:rsidRDefault="006A7B80" w:rsidP="008619A6">
      <w:pPr>
        <w:ind w:firstLine="900"/>
        <w:contextualSpacing/>
        <w:jc w:val="both"/>
        <w:rPr>
          <w:sz w:val="28"/>
          <w:szCs w:val="28"/>
        </w:rPr>
      </w:pPr>
      <w:r w:rsidRPr="00944478">
        <w:rPr>
          <w:sz w:val="28"/>
          <w:szCs w:val="28"/>
        </w:rPr>
        <w:t xml:space="preserve">Сравнительный анализ утверждаемости приговоров за последние пять лет показывает, что наилучшие показатели наблюдались в 2012, 2013 и 2014 годах и составляли более 90%. В 2017 году утверждаемость вернулась к своим высоким показателям, </w:t>
      </w:r>
      <w:r w:rsidR="00195FFB">
        <w:rPr>
          <w:sz w:val="28"/>
          <w:szCs w:val="28"/>
        </w:rPr>
        <w:t>достигнув</w:t>
      </w:r>
      <w:r w:rsidRPr="00944478">
        <w:rPr>
          <w:sz w:val="28"/>
          <w:szCs w:val="28"/>
        </w:rPr>
        <w:t xml:space="preserve"> 90,8%, и стоит выше общероссийских 87%.</w:t>
      </w:r>
    </w:p>
    <w:p w:rsidR="006A7B80" w:rsidRDefault="006A7B80" w:rsidP="008619A6">
      <w:pPr>
        <w:ind w:firstLine="900"/>
        <w:contextualSpacing/>
        <w:jc w:val="center"/>
        <w:rPr>
          <w:sz w:val="24"/>
          <w:szCs w:val="24"/>
        </w:rPr>
      </w:pPr>
      <w:r>
        <w:rPr>
          <w:sz w:val="24"/>
          <w:szCs w:val="24"/>
        </w:rPr>
        <w:t xml:space="preserve">                                                                                                                      Диаграмма 3 </w:t>
      </w:r>
    </w:p>
    <w:p w:rsidR="006A7B80" w:rsidRDefault="006A7B80" w:rsidP="008619A6">
      <w:pPr>
        <w:ind w:firstLine="900"/>
        <w:contextualSpacing/>
        <w:rPr>
          <w:sz w:val="28"/>
          <w:szCs w:val="28"/>
        </w:rPr>
      </w:pPr>
      <w:r>
        <w:rPr>
          <w:noProof/>
          <w:sz w:val="28"/>
          <w:szCs w:val="28"/>
        </w:rPr>
        <w:drawing>
          <wp:inline distT="0" distB="0" distL="0" distR="0" wp14:anchorId="4D1E1CCB" wp14:editId="17436992">
            <wp:extent cx="4819135" cy="2010033"/>
            <wp:effectExtent l="0" t="0" r="19685" b="9525"/>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C3F0D" w:rsidRDefault="003C3F0D" w:rsidP="008619A6">
      <w:pPr>
        <w:ind w:firstLine="900"/>
        <w:contextualSpacing/>
        <w:jc w:val="both"/>
        <w:rPr>
          <w:sz w:val="28"/>
          <w:szCs w:val="28"/>
          <w:u w:val="single"/>
        </w:rPr>
      </w:pPr>
    </w:p>
    <w:p w:rsidR="006A7B80" w:rsidRDefault="006A7B80" w:rsidP="008619A6">
      <w:pPr>
        <w:ind w:firstLine="900"/>
        <w:contextualSpacing/>
        <w:jc w:val="both"/>
        <w:rPr>
          <w:sz w:val="28"/>
          <w:szCs w:val="28"/>
        </w:rPr>
      </w:pPr>
      <w:r w:rsidRPr="009079FA">
        <w:rPr>
          <w:sz w:val="28"/>
          <w:szCs w:val="28"/>
          <w:u w:val="single"/>
        </w:rPr>
        <w:t>Апелляционная инстанция</w:t>
      </w:r>
      <w:r w:rsidR="00212241">
        <w:rPr>
          <w:sz w:val="28"/>
          <w:szCs w:val="28"/>
          <w:u w:val="single"/>
        </w:rPr>
        <w:t xml:space="preserve">. </w:t>
      </w:r>
      <w:r w:rsidRPr="007D2F56">
        <w:rPr>
          <w:sz w:val="28"/>
          <w:szCs w:val="28"/>
        </w:rPr>
        <w:t xml:space="preserve">В истекшем году в апелляционном </w:t>
      </w:r>
      <w:r>
        <w:rPr>
          <w:sz w:val="28"/>
          <w:szCs w:val="28"/>
        </w:rPr>
        <w:t>порядке рассмотрено 9</w:t>
      </w:r>
      <w:r w:rsidRPr="007D2F56">
        <w:rPr>
          <w:sz w:val="28"/>
          <w:szCs w:val="28"/>
        </w:rPr>
        <w:t>138 уголо</w:t>
      </w:r>
      <w:r w:rsidRPr="007D2F56">
        <w:rPr>
          <w:sz w:val="28"/>
          <w:szCs w:val="28"/>
        </w:rPr>
        <w:t>в</w:t>
      </w:r>
      <w:r w:rsidRPr="007D2F56">
        <w:rPr>
          <w:sz w:val="28"/>
          <w:szCs w:val="28"/>
        </w:rPr>
        <w:t xml:space="preserve">ных дел и материалов в отношении </w:t>
      </w:r>
      <w:r>
        <w:rPr>
          <w:sz w:val="28"/>
          <w:szCs w:val="28"/>
        </w:rPr>
        <w:t>9</w:t>
      </w:r>
      <w:r w:rsidRPr="007D2F56">
        <w:rPr>
          <w:sz w:val="28"/>
          <w:szCs w:val="28"/>
        </w:rPr>
        <w:t>698 лиц. По ср</w:t>
      </w:r>
      <w:r>
        <w:rPr>
          <w:sz w:val="28"/>
          <w:szCs w:val="28"/>
        </w:rPr>
        <w:t>авнению с 2016 годом пр</w:t>
      </w:r>
      <w:r>
        <w:rPr>
          <w:sz w:val="28"/>
          <w:szCs w:val="28"/>
        </w:rPr>
        <w:t>о</w:t>
      </w:r>
      <w:r>
        <w:rPr>
          <w:sz w:val="28"/>
          <w:szCs w:val="28"/>
        </w:rPr>
        <w:t xml:space="preserve">изошло </w:t>
      </w:r>
      <w:r w:rsidRPr="007D2F56">
        <w:rPr>
          <w:sz w:val="28"/>
          <w:szCs w:val="28"/>
        </w:rPr>
        <w:t xml:space="preserve">увеличение </w:t>
      </w:r>
      <w:r>
        <w:rPr>
          <w:sz w:val="28"/>
          <w:szCs w:val="28"/>
        </w:rPr>
        <w:t>на 2,2 %.</w:t>
      </w:r>
      <w:r w:rsidRPr="007D2F56">
        <w:rPr>
          <w:sz w:val="28"/>
          <w:szCs w:val="28"/>
        </w:rPr>
        <w:t xml:space="preserve"> </w:t>
      </w:r>
    </w:p>
    <w:p w:rsidR="006B2C67" w:rsidRDefault="006B2C67" w:rsidP="008619A6">
      <w:pPr>
        <w:ind w:firstLine="900"/>
        <w:contextualSpacing/>
        <w:jc w:val="both"/>
        <w:rPr>
          <w:sz w:val="28"/>
          <w:szCs w:val="28"/>
        </w:rPr>
      </w:pPr>
      <w:r>
        <w:rPr>
          <w:sz w:val="28"/>
          <w:szCs w:val="28"/>
        </w:rPr>
        <w:lastRenderedPageBreak/>
        <w:t>В целом за последние годы прослеживается динамика увеличения количества рассмотренных уголовных дел в апелляционном порядке (см. Диаграмму 4).</w:t>
      </w:r>
    </w:p>
    <w:p w:rsidR="006A7B80" w:rsidRPr="00935907" w:rsidRDefault="006A7B80" w:rsidP="008619A6">
      <w:pPr>
        <w:ind w:firstLine="900"/>
        <w:contextualSpacing/>
        <w:jc w:val="center"/>
        <w:rPr>
          <w:sz w:val="24"/>
          <w:szCs w:val="24"/>
        </w:rPr>
      </w:pPr>
      <w:r w:rsidRPr="005F18CB">
        <w:rPr>
          <w:sz w:val="24"/>
          <w:szCs w:val="24"/>
        </w:rPr>
        <w:t xml:space="preserve">                                                                                                              </w:t>
      </w:r>
      <w:r>
        <w:rPr>
          <w:sz w:val="24"/>
          <w:szCs w:val="24"/>
        </w:rPr>
        <w:t xml:space="preserve">     </w:t>
      </w:r>
      <w:r w:rsidRPr="005F18CB">
        <w:rPr>
          <w:sz w:val="24"/>
          <w:szCs w:val="24"/>
        </w:rPr>
        <w:t xml:space="preserve">  </w:t>
      </w:r>
      <w:r>
        <w:rPr>
          <w:sz w:val="24"/>
          <w:szCs w:val="24"/>
        </w:rPr>
        <w:t>Диаграмма 4</w:t>
      </w:r>
    </w:p>
    <w:p w:rsidR="006A7B80" w:rsidRDefault="006A7B80" w:rsidP="008619A6">
      <w:pPr>
        <w:ind w:firstLine="900"/>
        <w:contextualSpacing/>
        <w:jc w:val="both"/>
        <w:rPr>
          <w:color w:val="000000"/>
          <w:sz w:val="32"/>
          <w:szCs w:val="32"/>
        </w:rPr>
      </w:pPr>
      <w:r>
        <w:rPr>
          <w:noProof/>
          <w:sz w:val="28"/>
          <w:szCs w:val="28"/>
        </w:rPr>
        <w:drawing>
          <wp:inline distT="0" distB="0" distL="0" distR="0" wp14:anchorId="1035C701" wp14:editId="7A203758">
            <wp:extent cx="4917440" cy="2239010"/>
            <wp:effectExtent l="0" t="0" r="16510" b="2794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B2C67" w:rsidRPr="00604E85" w:rsidRDefault="006B2C67" w:rsidP="008619A6">
      <w:pPr>
        <w:ind w:firstLine="900"/>
        <w:contextualSpacing/>
        <w:jc w:val="both"/>
        <w:rPr>
          <w:sz w:val="28"/>
          <w:szCs w:val="28"/>
        </w:rPr>
      </w:pPr>
      <w:r w:rsidRPr="00604E85">
        <w:rPr>
          <w:sz w:val="28"/>
          <w:szCs w:val="28"/>
        </w:rPr>
        <w:t xml:space="preserve">Судом второй инстанции отменены приговоры в отношении 98 лиц, из них </w:t>
      </w:r>
      <w:r>
        <w:rPr>
          <w:sz w:val="28"/>
          <w:szCs w:val="28"/>
        </w:rPr>
        <w:t xml:space="preserve">в отношении 76 лиц приговоры отменены </w:t>
      </w:r>
      <w:r w:rsidRPr="00604E85">
        <w:rPr>
          <w:sz w:val="28"/>
          <w:szCs w:val="28"/>
        </w:rPr>
        <w:t>с направлением дела на новое рассмот</w:t>
      </w:r>
      <w:r>
        <w:rPr>
          <w:sz w:val="28"/>
          <w:szCs w:val="28"/>
        </w:rPr>
        <w:t xml:space="preserve">рение (в 2016 этот показатель равнялся </w:t>
      </w:r>
      <w:r w:rsidRPr="00604E85">
        <w:rPr>
          <w:sz w:val="28"/>
          <w:szCs w:val="28"/>
        </w:rPr>
        <w:t>79)</w:t>
      </w:r>
      <w:r>
        <w:rPr>
          <w:sz w:val="28"/>
          <w:szCs w:val="28"/>
        </w:rPr>
        <w:t>; в отношении 1 лица</w:t>
      </w:r>
      <w:r w:rsidRPr="00604E85">
        <w:rPr>
          <w:sz w:val="28"/>
          <w:szCs w:val="28"/>
        </w:rPr>
        <w:t xml:space="preserve"> </w:t>
      </w:r>
      <w:r>
        <w:rPr>
          <w:sz w:val="28"/>
          <w:szCs w:val="28"/>
        </w:rPr>
        <w:t>– с</w:t>
      </w:r>
      <w:r w:rsidRPr="00604E85">
        <w:rPr>
          <w:sz w:val="28"/>
          <w:szCs w:val="28"/>
        </w:rPr>
        <w:t xml:space="preserve"> вынесением ново</w:t>
      </w:r>
      <w:r>
        <w:rPr>
          <w:sz w:val="28"/>
          <w:szCs w:val="28"/>
        </w:rPr>
        <w:t>го обвинительного приговора;</w:t>
      </w:r>
      <w:r w:rsidRPr="00604E85">
        <w:rPr>
          <w:sz w:val="28"/>
          <w:szCs w:val="28"/>
        </w:rPr>
        <w:t xml:space="preserve"> </w:t>
      </w:r>
      <w:r>
        <w:rPr>
          <w:sz w:val="28"/>
          <w:szCs w:val="28"/>
        </w:rPr>
        <w:t xml:space="preserve">в отношении 7 лиц </w:t>
      </w:r>
      <w:proofErr w:type="gramStart"/>
      <w:r>
        <w:rPr>
          <w:sz w:val="28"/>
          <w:szCs w:val="28"/>
        </w:rPr>
        <w:t>–</w:t>
      </w:r>
      <w:r w:rsidRPr="00604E85">
        <w:rPr>
          <w:sz w:val="28"/>
          <w:szCs w:val="28"/>
        </w:rPr>
        <w:t>с</w:t>
      </w:r>
      <w:proofErr w:type="gramEnd"/>
      <w:r w:rsidRPr="00604E85">
        <w:rPr>
          <w:sz w:val="28"/>
          <w:szCs w:val="28"/>
        </w:rPr>
        <w:t xml:space="preserve"> возвращением прокурору</w:t>
      </w:r>
      <w:r>
        <w:rPr>
          <w:sz w:val="28"/>
          <w:szCs w:val="28"/>
        </w:rPr>
        <w:t>; в отношении 4 лиц</w:t>
      </w:r>
      <w:r w:rsidRPr="00604E85">
        <w:rPr>
          <w:sz w:val="28"/>
          <w:szCs w:val="28"/>
        </w:rPr>
        <w:t xml:space="preserve"> </w:t>
      </w:r>
      <w:r>
        <w:rPr>
          <w:sz w:val="28"/>
          <w:szCs w:val="28"/>
        </w:rPr>
        <w:t xml:space="preserve">– </w:t>
      </w:r>
      <w:r w:rsidRPr="00604E85">
        <w:rPr>
          <w:sz w:val="28"/>
          <w:szCs w:val="28"/>
        </w:rPr>
        <w:t>с оставлением</w:t>
      </w:r>
      <w:r>
        <w:rPr>
          <w:sz w:val="28"/>
          <w:szCs w:val="28"/>
        </w:rPr>
        <w:t xml:space="preserve"> в силе менее тяжкого обвинения; и в отношении 10 лиц дело было </w:t>
      </w:r>
      <w:r w:rsidRPr="00604E85">
        <w:rPr>
          <w:sz w:val="28"/>
          <w:szCs w:val="28"/>
        </w:rPr>
        <w:t>прекращен</w:t>
      </w:r>
      <w:r>
        <w:rPr>
          <w:sz w:val="28"/>
          <w:szCs w:val="28"/>
        </w:rPr>
        <w:t>о</w:t>
      </w:r>
      <w:r w:rsidRPr="00604E85">
        <w:rPr>
          <w:sz w:val="28"/>
          <w:szCs w:val="28"/>
        </w:rPr>
        <w:t xml:space="preserve">. </w:t>
      </w:r>
    </w:p>
    <w:p w:rsidR="006B2C67" w:rsidRPr="00604E85" w:rsidRDefault="006B2C67" w:rsidP="008619A6">
      <w:pPr>
        <w:ind w:firstLine="900"/>
        <w:contextualSpacing/>
        <w:jc w:val="both"/>
        <w:rPr>
          <w:sz w:val="28"/>
          <w:szCs w:val="28"/>
        </w:rPr>
      </w:pPr>
      <w:r w:rsidRPr="00604E85">
        <w:rPr>
          <w:sz w:val="28"/>
          <w:szCs w:val="28"/>
        </w:rPr>
        <w:t xml:space="preserve">Изменены приговоры в отношении 348 лиц (в 2016 - 358 лиц), что составляет 11,6% от общего числа лиц, обжаловавших приговоры. В 2016 году этот показатель равнялся 12,3%. </w:t>
      </w:r>
    </w:p>
    <w:p w:rsidR="006B2C67" w:rsidRPr="00604E85" w:rsidRDefault="006B2C67" w:rsidP="008619A6">
      <w:pPr>
        <w:ind w:firstLine="900"/>
        <w:contextualSpacing/>
        <w:jc w:val="both"/>
        <w:rPr>
          <w:sz w:val="28"/>
          <w:szCs w:val="28"/>
        </w:rPr>
      </w:pPr>
      <w:r w:rsidRPr="00604E85">
        <w:rPr>
          <w:sz w:val="28"/>
          <w:szCs w:val="28"/>
        </w:rPr>
        <w:t>В 2017 году с переквалификацией действий осужденных приговоры измен</w:t>
      </w:r>
      <w:r>
        <w:rPr>
          <w:sz w:val="28"/>
          <w:szCs w:val="28"/>
        </w:rPr>
        <w:t>и</w:t>
      </w:r>
      <w:r w:rsidRPr="00604E85">
        <w:rPr>
          <w:sz w:val="28"/>
          <w:szCs w:val="28"/>
        </w:rPr>
        <w:t xml:space="preserve">лись в отношении 40 лиц (11,1 % от общего количества измененных).  </w:t>
      </w:r>
    </w:p>
    <w:p w:rsidR="00E14168" w:rsidRDefault="006B2C67" w:rsidP="008619A6">
      <w:pPr>
        <w:ind w:firstLine="900"/>
        <w:contextualSpacing/>
        <w:jc w:val="both"/>
        <w:rPr>
          <w:sz w:val="28"/>
          <w:szCs w:val="28"/>
        </w:rPr>
      </w:pPr>
      <w:proofErr w:type="gramStart"/>
      <w:r w:rsidRPr="00943C63">
        <w:rPr>
          <w:sz w:val="28"/>
          <w:szCs w:val="28"/>
        </w:rPr>
        <w:t>За истекший период Судебная коллегия по уголовным делам Верховного Суда Республики Татарстан в отношении 296 осужденных внесла в приговоры изменения, связанные со смягчением наказания</w:t>
      </w:r>
      <w:r w:rsidR="00E14168">
        <w:rPr>
          <w:sz w:val="28"/>
          <w:szCs w:val="28"/>
        </w:rPr>
        <w:t xml:space="preserve"> (-1,3% по отношению к 2016 году)</w:t>
      </w:r>
      <w:r w:rsidRPr="00943C63">
        <w:rPr>
          <w:sz w:val="28"/>
          <w:szCs w:val="28"/>
        </w:rPr>
        <w:t>, а в отношении 12 осужденных</w:t>
      </w:r>
      <w:r>
        <w:rPr>
          <w:sz w:val="28"/>
          <w:szCs w:val="28"/>
        </w:rPr>
        <w:t xml:space="preserve"> изменения, </w:t>
      </w:r>
      <w:r w:rsidRPr="00943C63">
        <w:rPr>
          <w:sz w:val="28"/>
          <w:szCs w:val="28"/>
        </w:rPr>
        <w:t>связанные</w:t>
      </w:r>
      <w:r>
        <w:rPr>
          <w:sz w:val="28"/>
          <w:szCs w:val="28"/>
        </w:rPr>
        <w:t xml:space="preserve"> </w:t>
      </w:r>
      <w:r w:rsidRPr="00943C63">
        <w:rPr>
          <w:sz w:val="28"/>
          <w:szCs w:val="28"/>
        </w:rPr>
        <w:t>с усилением наказания, при оставлении без изменения квалификации содеянного</w:t>
      </w:r>
      <w:r w:rsidR="00E14168">
        <w:rPr>
          <w:sz w:val="28"/>
          <w:szCs w:val="28"/>
        </w:rPr>
        <w:t xml:space="preserve"> (-33,3% по отношению к 2016 году)</w:t>
      </w:r>
      <w:r w:rsidRPr="00943C63">
        <w:rPr>
          <w:sz w:val="28"/>
          <w:szCs w:val="28"/>
        </w:rPr>
        <w:t xml:space="preserve">. </w:t>
      </w:r>
      <w:proofErr w:type="gramEnd"/>
    </w:p>
    <w:p w:rsidR="006B2C67" w:rsidRDefault="006B2C67" w:rsidP="008619A6">
      <w:pPr>
        <w:ind w:firstLine="900"/>
        <w:contextualSpacing/>
        <w:jc w:val="both"/>
        <w:rPr>
          <w:sz w:val="28"/>
          <w:szCs w:val="28"/>
        </w:rPr>
      </w:pPr>
      <w:r>
        <w:rPr>
          <w:sz w:val="28"/>
          <w:szCs w:val="28"/>
        </w:rPr>
        <w:t>По результатам анализа практики изменения и отмены приговоров районных (городских) судов в апелляционном порядке в 2017 году основаниями для отмены явились:</w:t>
      </w:r>
    </w:p>
    <w:p w:rsidR="006B2C67" w:rsidRDefault="006B2C67" w:rsidP="00335DC8">
      <w:pPr>
        <w:numPr>
          <w:ilvl w:val="0"/>
          <w:numId w:val="6"/>
        </w:numPr>
        <w:ind w:left="1134" w:hanging="283"/>
        <w:contextualSpacing/>
        <w:jc w:val="both"/>
        <w:rPr>
          <w:sz w:val="28"/>
          <w:szCs w:val="28"/>
        </w:rPr>
      </w:pPr>
      <w:r>
        <w:rPr>
          <w:sz w:val="28"/>
          <w:szCs w:val="28"/>
        </w:rPr>
        <w:t xml:space="preserve"> несоответствие выводов суда фактическим обстоятельствам уголовного дела;</w:t>
      </w:r>
    </w:p>
    <w:p w:rsidR="006B2C67" w:rsidRDefault="006B2C67" w:rsidP="00335DC8">
      <w:pPr>
        <w:numPr>
          <w:ilvl w:val="0"/>
          <w:numId w:val="6"/>
        </w:numPr>
        <w:ind w:left="1134" w:hanging="283"/>
        <w:contextualSpacing/>
        <w:jc w:val="both"/>
        <w:rPr>
          <w:sz w:val="28"/>
          <w:szCs w:val="28"/>
        </w:rPr>
      </w:pPr>
      <w:r>
        <w:rPr>
          <w:sz w:val="28"/>
          <w:szCs w:val="28"/>
        </w:rPr>
        <w:t xml:space="preserve"> неправильное применение уголовного закона;</w:t>
      </w:r>
    </w:p>
    <w:p w:rsidR="006B2C67" w:rsidRDefault="006B2C67" w:rsidP="00335DC8">
      <w:pPr>
        <w:numPr>
          <w:ilvl w:val="0"/>
          <w:numId w:val="6"/>
        </w:numPr>
        <w:ind w:left="1134" w:hanging="283"/>
        <w:contextualSpacing/>
        <w:jc w:val="both"/>
        <w:rPr>
          <w:sz w:val="28"/>
          <w:szCs w:val="28"/>
        </w:rPr>
      </w:pPr>
      <w:r>
        <w:rPr>
          <w:sz w:val="28"/>
          <w:szCs w:val="28"/>
        </w:rPr>
        <w:t xml:space="preserve"> существенные нарушения уголовно-процессуального закона;</w:t>
      </w:r>
    </w:p>
    <w:p w:rsidR="006B2C67" w:rsidRDefault="006B2C67" w:rsidP="00335DC8">
      <w:pPr>
        <w:numPr>
          <w:ilvl w:val="0"/>
          <w:numId w:val="6"/>
        </w:numPr>
        <w:ind w:left="1134" w:hanging="283"/>
        <w:contextualSpacing/>
        <w:jc w:val="both"/>
        <w:rPr>
          <w:sz w:val="28"/>
          <w:szCs w:val="28"/>
        </w:rPr>
      </w:pPr>
      <w:r>
        <w:rPr>
          <w:sz w:val="28"/>
          <w:szCs w:val="28"/>
        </w:rPr>
        <w:t xml:space="preserve"> несправедливость приговора.</w:t>
      </w:r>
    </w:p>
    <w:p w:rsidR="006A7B80" w:rsidRPr="008C3AE2" w:rsidRDefault="006A7B80" w:rsidP="008619A6">
      <w:pPr>
        <w:ind w:firstLine="900"/>
        <w:contextualSpacing/>
        <w:jc w:val="both"/>
        <w:rPr>
          <w:sz w:val="28"/>
          <w:szCs w:val="28"/>
        </w:rPr>
      </w:pPr>
      <w:r w:rsidRPr="008C3AE2">
        <w:rPr>
          <w:sz w:val="28"/>
          <w:szCs w:val="28"/>
          <w:u w:val="single"/>
        </w:rPr>
        <w:t>Кассационная инстанция</w:t>
      </w:r>
      <w:r w:rsidR="00212241">
        <w:rPr>
          <w:sz w:val="28"/>
          <w:szCs w:val="28"/>
          <w:u w:val="single"/>
        </w:rPr>
        <w:t xml:space="preserve">. </w:t>
      </w:r>
      <w:r w:rsidR="007119CD">
        <w:rPr>
          <w:sz w:val="28"/>
          <w:szCs w:val="28"/>
        </w:rPr>
        <w:t>В 2017 году на рассмотрение президиума поступило 3925 жалоб и представлений</w:t>
      </w:r>
      <w:r w:rsidR="007119CD" w:rsidRPr="007119CD">
        <w:rPr>
          <w:sz w:val="28"/>
          <w:szCs w:val="28"/>
        </w:rPr>
        <w:t xml:space="preserve"> </w:t>
      </w:r>
      <w:r w:rsidR="007119CD" w:rsidRPr="008C3AE2">
        <w:rPr>
          <w:sz w:val="28"/>
          <w:szCs w:val="28"/>
        </w:rPr>
        <w:t>на вступившие в з</w:t>
      </w:r>
      <w:r w:rsidR="007119CD">
        <w:rPr>
          <w:sz w:val="28"/>
          <w:szCs w:val="28"/>
        </w:rPr>
        <w:t xml:space="preserve">аконную силу судебные решения. </w:t>
      </w:r>
      <w:r w:rsidR="00C035BF">
        <w:rPr>
          <w:sz w:val="28"/>
          <w:szCs w:val="28"/>
        </w:rPr>
        <w:t xml:space="preserve">Данные </w:t>
      </w:r>
      <w:r w:rsidRPr="008C3AE2">
        <w:rPr>
          <w:sz w:val="28"/>
          <w:szCs w:val="28"/>
        </w:rPr>
        <w:t xml:space="preserve">статистических </w:t>
      </w:r>
      <w:r w:rsidR="00C035BF">
        <w:rPr>
          <w:sz w:val="28"/>
          <w:szCs w:val="28"/>
        </w:rPr>
        <w:t>отчетов</w:t>
      </w:r>
      <w:r w:rsidRPr="008C3AE2">
        <w:rPr>
          <w:sz w:val="28"/>
          <w:szCs w:val="28"/>
        </w:rPr>
        <w:t xml:space="preserve"> </w:t>
      </w:r>
      <w:r w:rsidR="00C035BF">
        <w:rPr>
          <w:sz w:val="28"/>
          <w:szCs w:val="28"/>
        </w:rPr>
        <w:t>демонстрируют колебание значения данного показателя в течение последних пяти лет</w:t>
      </w:r>
      <w:r w:rsidR="0033169A">
        <w:rPr>
          <w:sz w:val="28"/>
          <w:szCs w:val="28"/>
        </w:rPr>
        <w:t xml:space="preserve">. </w:t>
      </w:r>
      <w:r w:rsidR="00AA3DBC">
        <w:rPr>
          <w:sz w:val="28"/>
          <w:szCs w:val="28"/>
        </w:rPr>
        <w:t xml:space="preserve">В частности, по отношению к прошлому отчетному периоду его значение </w:t>
      </w:r>
      <w:r w:rsidR="00AA3DBC">
        <w:rPr>
          <w:sz w:val="28"/>
          <w:szCs w:val="28"/>
        </w:rPr>
        <w:lastRenderedPageBreak/>
        <w:t xml:space="preserve">уменьшилось на 5%, тогда как в 2016 году, напротив, выросло на 3,3%. </w:t>
      </w:r>
      <w:r w:rsidR="0033169A">
        <w:rPr>
          <w:sz w:val="28"/>
          <w:szCs w:val="28"/>
        </w:rPr>
        <w:t xml:space="preserve">Вместе с этим метод скользящей средней </w:t>
      </w:r>
      <w:r w:rsidR="00AA3DBC">
        <w:rPr>
          <w:sz w:val="28"/>
          <w:szCs w:val="28"/>
        </w:rPr>
        <w:t>определяет вектор отрицательной направленности показателя в пределах данного интервала наблюдения.</w:t>
      </w:r>
      <w:r w:rsidRPr="008C3AE2">
        <w:rPr>
          <w:sz w:val="28"/>
          <w:szCs w:val="28"/>
        </w:rPr>
        <w:t xml:space="preserve"> </w:t>
      </w:r>
      <w:r w:rsidR="00E14168">
        <w:rPr>
          <w:sz w:val="28"/>
          <w:szCs w:val="28"/>
        </w:rPr>
        <w:t xml:space="preserve">При этом </w:t>
      </w:r>
      <w:r w:rsidR="00E14168" w:rsidRPr="008C3AE2">
        <w:rPr>
          <w:sz w:val="28"/>
          <w:szCs w:val="28"/>
        </w:rPr>
        <w:t xml:space="preserve">количество доложенных дел в президиуме </w:t>
      </w:r>
      <w:r w:rsidR="00C9685C">
        <w:rPr>
          <w:sz w:val="28"/>
          <w:szCs w:val="28"/>
        </w:rPr>
        <w:t>по сравнению с 2016 годом</w:t>
      </w:r>
      <w:r w:rsidR="00C9685C" w:rsidRPr="008C3AE2">
        <w:rPr>
          <w:sz w:val="28"/>
          <w:szCs w:val="28"/>
        </w:rPr>
        <w:t xml:space="preserve"> </w:t>
      </w:r>
      <w:r w:rsidR="00E14168" w:rsidRPr="008C3AE2">
        <w:rPr>
          <w:sz w:val="28"/>
          <w:szCs w:val="28"/>
        </w:rPr>
        <w:t xml:space="preserve">увеличилось на </w:t>
      </w:r>
      <w:r w:rsidR="00C9685C">
        <w:rPr>
          <w:sz w:val="28"/>
          <w:szCs w:val="28"/>
        </w:rPr>
        <w:t>8,9</w:t>
      </w:r>
      <w:r w:rsidR="00E14168" w:rsidRPr="008C3AE2">
        <w:rPr>
          <w:sz w:val="28"/>
          <w:szCs w:val="28"/>
        </w:rPr>
        <w:t xml:space="preserve"> %</w:t>
      </w:r>
      <w:r w:rsidR="00E14168">
        <w:rPr>
          <w:sz w:val="28"/>
          <w:szCs w:val="28"/>
        </w:rPr>
        <w:t xml:space="preserve"> (см. Табл. 7)</w:t>
      </w:r>
      <w:r w:rsidR="00C9685C">
        <w:rPr>
          <w:sz w:val="28"/>
          <w:szCs w:val="28"/>
        </w:rPr>
        <w:t xml:space="preserve"> </w:t>
      </w:r>
    </w:p>
    <w:p w:rsidR="006A7B80" w:rsidRPr="00927695" w:rsidRDefault="006A7B80" w:rsidP="008619A6">
      <w:pPr>
        <w:ind w:firstLine="900"/>
        <w:contextualSpacing/>
        <w:jc w:val="center"/>
        <w:rPr>
          <w:sz w:val="24"/>
          <w:szCs w:val="24"/>
        </w:rPr>
      </w:pPr>
      <w:r w:rsidRPr="005F18CB">
        <w:rPr>
          <w:sz w:val="24"/>
          <w:szCs w:val="24"/>
        </w:rPr>
        <w:t xml:space="preserve">                            </w:t>
      </w:r>
      <w:r w:rsidR="007119CD">
        <w:rPr>
          <w:sz w:val="24"/>
          <w:szCs w:val="24"/>
        </w:rPr>
        <w:t xml:space="preserve"> </w:t>
      </w:r>
      <w:r w:rsidRPr="005F18CB">
        <w:rPr>
          <w:sz w:val="24"/>
          <w:szCs w:val="24"/>
        </w:rPr>
        <w:t xml:space="preserve">                                                                             </w:t>
      </w:r>
      <w:r>
        <w:rPr>
          <w:sz w:val="24"/>
          <w:szCs w:val="24"/>
        </w:rPr>
        <w:t xml:space="preserve">  </w:t>
      </w:r>
      <w:r w:rsidRPr="005F18CB">
        <w:rPr>
          <w:sz w:val="24"/>
          <w:szCs w:val="24"/>
        </w:rPr>
        <w:t xml:space="preserve">      </w:t>
      </w:r>
      <w:r>
        <w:rPr>
          <w:sz w:val="24"/>
          <w:szCs w:val="24"/>
        </w:rPr>
        <w:t xml:space="preserve">   </w:t>
      </w:r>
      <w:r w:rsidRPr="005F18CB">
        <w:rPr>
          <w:sz w:val="24"/>
          <w:szCs w:val="24"/>
        </w:rPr>
        <w:t xml:space="preserve">      Та</w:t>
      </w:r>
      <w:r w:rsidRPr="005F18CB">
        <w:rPr>
          <w:sz w:val="24"/>
          <w:szCs w:val="24"/>
        </w:rPr>
        <w:t>б</w:t>
      </w:r>
      <w:r>
        <w:rPr>
          <w:sz w:val="24"/>
          <w:szCs w:val="24"/>
        </w:rPr>
        <w:t>лица 7</w:t>
      </w:r>
    </w:p>
    <w:tbl>
      <w:tblPr>
        <w:tblW w:w="91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884"/>
        <w:gridCol w:w="840"/>
        <w:gridCol w:w="916"/>
        <w:gridCol w:w="1080"/>
        <w:gridCol w:w="1359"/>
      </w:tblGrid>
      <w:tr w:rsidR="006A7B80" w:rsidRPr="00DC3228" w:rsidTr="007119CD">
        <w:trPr>
          <w:trHeight w:val="351"/>
        </w:trPr>
        <w:tc>
          <w:tcPr>
            <w:tcW w:w="9190" w:type="dxa"/>
            <w:gridSpan w:val="6"/>
            <w:tcBorders>
              <w:top w:val="double" w:sz="4" w:space="0" w:color="auto"/>
              <w:left w:val="double" w:sz="4" w:space="0" w:color="auto"/>
              <w:bottom w:val="single" w:sz="4" w:space="0" w:color="auto"/>
              <w:right w:val="double" w:sz="4" w:space="0" w:color="auto"/>
            </w:tcBorders>
            <w:shd w:val="clear" w:color="auto" w:fill="auto"/>
          </w:tcPr>
          <w:p w:rsidR="006A7B80" w:rsidRPr="00DC3228" w:rsidRDefault="006A7B80" w:rsidP="008619A6">
            <w:pPr>
              <w:contextualSpacing/>
              <w:jc w:val="center"/>
              <w:rPr>
                <w:b/>
                <w:sz w:val="24"/>
                <w:szCs w:val="24"/>
              </w:rPr>
            </w:pPr>
            <w:r w:rsidRPr="00DC3228">
              <w:rPr>
                <w:b/>
                <w:sz w:val="24"/>
                <w:szCs w:val="24"/>
              </w:rPr>
              <w:t xml:space="preserve">Количество </w:t>
            </w:r>
            <w:r>
              <w:rPr>
                <w:b/>
                <w:sz w:val="24"/>
                <w:szCs w:val="24"/>
              </w:rPr>
              <w:t>поступивших и рассмотрен</w:t>
            </w:r>
            <w:r w:rsidR="007119CD">
              <w:rPr>
                <w:b/>
                <w:sz w:val="24"/>
                <w:szCs w:val="24"/>
              </w:rPr>
              <w:t>ных</w:t>
            </w:r>
            <w:r>
              <w:rPr>
                <w:b/>
                <w:sz w:val="24"/>
                <w:szCs w:val="24"/>
              </w:rPr>
              <w:t xml:space="preserve"> президиум</w:t>
            </w:r>
            <w:r w:rsidR="007119CD">
              <w:rPr>
                <w:b/>
                <w:sz w:val="24"/>
                <w:szCs w:val="24"/>
              </w:rPr>
              <w:t>ом</w:t>
            </w:r>
            <w:r>
              <w:rPr>
                <w:b/>
                <w:sz w:val="24"/>
                <w:szCs w:val="24"/>
              </w:rPr>
              <w:t xml:space="preserve"> жалоб, пре</w:t>
            </w:r>
            <w:r>
              <w:rPr>
                <w:b/>
                <w:sz w:val="24"/>
                <w:szCs w:val="24"/>
              </w:rPr>
              <w:t>д</w:t>
            </w:r>
            <w:r>
              <w:rPr>
                <w:b/>
                <w:sz w:val="24"/>
                <w:szCs w:val="24"/>
              </w:rPr>
              <w:t xml:space="preserve">ставлений </w:t>
            </w:r>
          </w:p>
        </w:tc>
      </w:tr>
      <w:tr w:rsidR="006A7B80" w:rsidRPr="00DC3228" w:rsidTr="007119CD">
        <w:trPr>
          <w:trHeight w:val="284"/>
        </w:trPr>
        <w:tc>
          <w:tcPr>
            <w:tcW w:w="4111" w:type="dxa"/>
            <w:tcBorders>
              <w:left w:val="double" w:sz="4" w:space="0" w:color="auto"/>
              <w:bottom w:val="thickThinLargeGap" w:sz="24" w:space="0" w:color="auto"/>
            </w:tcBorders>
            <w:shd w:val="clear" w:color="auto" w:fill="auto"/>
          </w:tcPr>
          <w:p w:rsidR="006A7B80" w:rsidRPr="00DC3228" w:rsidRDefault="006A7B80" w:rsidP="008619A6">
            <w:pPr>
              <w:contextualSpacing/>
              <w:jc w:val="center"/>
              <w:rPr>
                <w:b/>
                <w:sz w:val="24"/>
                <w:szCs w:val="24"/>
              </w:rPr>
            </w:pPr>
          </w:p>
        </w:tc>
        <w:tc>
          <w:tcPr>
            <w:tcW w:w="884" w:type="dxa"/>
            <w:tcBorders>
              <w:bottom w:val="thickThinLargeGap" w:sz="24" w:space="0" w:color="auto"/>
            </w:tcBorders>
            <w:shd w:val="clear" w:color="auto" w:fill="auto"/>
          </w:tcPr>
          <w:p w:rsidR="006A7B80" w:rsidRPr="00DC3228" w:rsidRDefault="006A7B80" w:rsidP="008619A6">
            <w:pPr>
              <w:contextualSpacing/>
              <w:jc w:val="center"/>
              <w:rPr>
                <w:b/>
                <w:sz w:val="24"/>
                <w:szCs w:val="24"/>
              </w:rPr>
            </w:pPr>
            <w:r w:rsidRPr="00DC3228">
              <w:rPr>
                <w:b/>
                <w:sz w:val="24"/>
                <w:szCs w:val="24"/>
                <w:lang w:val="en-US"/>
              </w:rPr>
              <w:t>201</w:t>
            </w:r>
            <w:r>
              <w:rPr>
                <w:b/>
                <w:sz w:val="24"/>
                <w:szCs w:val="24"/>
              </w:rPr>
              <w:t>3</w:t>
            </w:r>
          </w:p>
        </w:tc>
        <w:tc>
          <w:tcPr>
            <w:tcW w:w="840" w:type="dxa"/>
            <w:tcBorders>
              <w:bottom w:val="thickThinLargeGap" w:sz="24" w:space="0" w:color="auto"/>
            </w:tcBorders>
            <w:shd w:val="clear" w:color="auto" w:fill="auto"/>
          </w:tcPr>
          <w:p w:rsidR="006A7B80" w:rsidRPr="00DC3228" w:rsidRDefault="006A7B80" w:rsidP="008619A6">
            <w:pPr>
              <w:contextualSpacing/>
              <w:jc w:val="center"/>
              <w:rPr>
                <w:b/>
                <w:sz w:val="24"/>
                <w:szCs w:val="24"/>
              </w:rPr>
            </w:pPr>
            <w:r w:rsidRPr="00DC3228">
              <w:rPr>
                <w:b/>
                <w:sz w:val="24"/>
                <w:szCs w:val="24"/>
              </w:rPr>
              <w:t>2</w:t>
            </w:r>
            <w:r>
              <w:rPr>
                <w:b/>
                <w:sz w:val="24"/>
                <w:szCs w:val="24"/>
              </w:rPr>
              <w:t>014</w:t>
            </w:r>
          </w:p>
        </w:tc>
        <w:tc>
          <w:tcPr>
            <w:tcW w:w="916" w:type="dxa"/>
            <w:tcBorders>
              <w:bottom w:val="thickThinLargeGap" w:sz="24" w:space="0" w:color="auto"/>
            </w:tcBorders>
            <w:shd w:val="clear" w:color="auto" w:fill="auto"/>
          </w:tcPr>
          <w:p w:rsidR="006A7B80" w:rsidRPr="00DC3228" w:rsidRDefault="006A7B80" w:rsidP="008619A6">
            <w:pPr>
              <w:contextualSpacing/>
              <w:jc w:val="center"/>
              <w:rPr>
                <w:b/>
                <w:sz w:val="24"/>
                <w:szCs w:val="24"/>
              </w:rPr>
            </w:pPr>
            <w:r>
              <w:rPr>
                <w:b/>
                <w:sz w:val="24"/>
                <w:szCs w:val="24"/>
              </w:rPr>
              <w:t>2015</w:t>
            </w:r>
          </w:p>
        </w:tc>
        <w:tc>
          <w:tcPr>
            <w:tcW w:w="1080" w:type="dxa"/>
            <w:tcBorders>
              <w:bottom w:val="thickThinLargeGap" w:sz="24" w:space="0" w:color="auto"/>
            </w:tcBorders>
            <w:shd w:val="clear" w:color="auto" w:fill="auto"/>
          </w:tcPr>
          <w:p w:rsidR="006A7B80" w:rsidRPr="00DC3228" w:rsidRDefault="006A7B80" w:rsidP="008619A6">
            <w:pPr>
              <w:contextualSpacing/>
              <w:jc w:val="center"/>
              <w:rPr>
                <w:b/>
                <w:sz w:val="24"/>
                <w:szCs w:val="24"/>
              </w:rPr>
            </w:pPr>
            <w:r>
              <w:rPr>
                <w:b/>
                <w:sz w:val="24"/>
                <w:szCs w:val="24"/>
              </w:rPr>
              <w:t>2016</w:t>
            </w:r>
          </w:p>
        </w:tc>
        <w:tc>
          <w:tcPr>
            <w:tcW w:w="1359" w:type="dxa"/>
            <w:tcBorders>
              <w:bottom w:val="thickThinLargeGap" w:sz="24" w:space="0" w:color="auto"/>
              <w:right w:val="double" w:sz="4" w:space="0" w:color="auto"/>
            </w:tcBorders>
            <w:shd w:val="clear" w:color="auto" w:fill="auto"/>
          </w:tcPr>
          <w:p w:rsidR="006A7B80" w:rsidRPr="00DC3228" w:rsidRDefault="006A7B80" w:rsidP="008619A6">
            <w:pPr>
              <w:contextualSpacing/>
              <w:jc w:val="center"/>
              <w:rPr>
                <w:b/>
                <w:sz w:val="24"/>
                <w:szCs w:val="24"/>
              </w:rPr>
            </w:pPr>
            <w:r>
              <w:rPr>
                <w:b/>
                <w:sz w:val="24"/>
                <w:szCs w:val="24"/>
              </w:rPr>
              <w:t>2017</w:t>
            </w:r>
          </w:p>
        </w:tc>
      </w:tr>
      <w:tr w:rsidR="006A7B80" w:rsidRPr="00DC3228" w:rsidTr="007119CD">
        <w:trPr>
          <w:trHeight w:val="313"/>
        </w:trPr>
        <w:tc>
          <w:tcPr>
            <w:tcW w:w="4111" w:type="dxa"/>
            <w:tcBorders>
              <w:top w:val="thickThinLargeGap" w:sz="24" w:space="0" w:color="auto"/>
              <w:left w:val="double" w:sz="4" w:space="0" w:color="auto"/>
            </w:tcBorders>
            <w:vAlign w:val="bottom"/>
          </w:tcPr>
          <w:p w:rsidR="006A7B80" w:rsidRPr="00DC3228" w:rsidRDefault="006A7B80" w:rsidP="008619A6">
            <w:pPr>
              <w:contextualSpacing/>
              <w:jc w:val="center"/>
              <w:rPr>
                <w:b/>
                <w:sz w:val="24"/>
                <w:szCs w:val="24"/>
              </w:rPr>
            </w:pPr>
            <w:r>
              <w:rPr>
                <w:b/>
                <w:sz w:val="24"/>
                <w:szCs w:val="24"/>
              </w:rPr>
              <w:t>Всего поступило</w:t>
            </w:r>
          </w:p>
        </w:tc>
        <w:tc>
          <w:tcPr>
            <w:tcW w:w="884" w:type="dxa"/>
            <w:tcBorders>
              <w:top w:val="thickThinLargeGap" w:sz="24" w:space="0" w:color="auto"/>
            </w:tcBorders>
            <w:vAlign w:val="bottom"/>
          </w:tcPr>
          <w:p w:rsidR="006A7B80" w:rsidRPr="00DC3228" w:rsidRDefault="006A7B80" w:rsidP="008619A6">
            <w:pPr>
              <w:contextualSpacing/>
              <w:jc w:val="center"/>
              <w:rPr>
                <w:i/>
                <w:sz w:val="24"/>
                <w:szCs w:val="24"/>
              </w:rPr>
            </w:pPr>
            <w:r>
              <w:rPr>
                <w:i/>
                <w:sz w:val="24"/>
                <w:szCs w:val="24"/>
              </w:rPr>
              <w:t>6824</w:t>
            </w:r>
          </w:p>
        </w:tc>
        <w:tc>
          <w:tcPr>
            <w:tcW w:w="840" w:type="dxa"/>
            <w:tcBorders>
              <w:top w:val="thickThinLargeGap" w:sz="24" w:space="0" w:color="auto"/>
            </w:tcBorders>
            <w:vAlign w:val="bottom"/>
          </w:tcPr>
          <w:p w:rsidR="006A7B80" w:rsidRPr="00DC3228" w:rsidRDefault="006A7B80" w:rsidP="008619A6">
            <w:pPr>
              <w:contextualSpacing/>
              <w:jc w:val="center"/>
              <w:rPr>
                <w:i/>
                <w:sz w:val="24"/>
                <w:szCs w:val="24"/>
              </w:rPr>
            </w:pPr>
            <w:r>
              <w:rPr>
                <w:i/>
                <w:sz w:val="24"/>
                <w:szCs w:val="24"/>
              </w:rPr>
              <w:t>4564</w:t>
            </w:r>
          </w:p>
        </w:tc>
        <w:tc>
          <w:tcPr>
            <w:tcW w:w="916" w:type="dxa"/>
            <w:tcBorders>
              <w:top w:val="thickThinLargeGap" w:sz="24" w:space="0" w:color="auto"/>
            </w:tcBorders>
            <w:vAlign w:val="bottom"/>
          </w:tcPr>
          <w:p w:rsidR="006A7B80" w:rsidRPr="00DC3228" w:rsidRDefault="006A7B80" w:rsidP="008619A6">
            <w:pPr>
              <w:contextualSpacing/>
              <w:jc w:val="center"/>
              <w:rPr>
                <w:i/>
                <w:sz w:val="24"/>
                <w:szCs w:val="24"/>
              </w:rPr>
            </w:pPr>
            <w:r>
              <w:rPr>
                <w:i/>
                <w:sz w:val="24"/>
                <w:szCs w:val="24"/>
              </w:rPr>
              <w:t>3999</w:t>
            </w:r>
          </w:p>
        </w:tc>
        <w:tc>
          <w:tcPr>
            <w:tcW w:w="1080" w:type="dxa"/>
            <w:tcBorders>
              <w:top w:val="thickThinLargeGap" w:sz="24" w:space="0" w:color="auto"/>
            </w:tcBorders>
            <w:vAlign w:val="bottom"/>
          </w:tcPr>
          <w:p w:rsidR="006A7B80" w:rsidRPr="00DC3228" w:rsidRDefault="006A7B80" w:rsidP="008619A6">
            <w:pPr>
              <w:contextualSpacing/>
              <w:jc w:val="center"/>
              <w:rPr>
                <w:i/>
                <w:sz w:val="24"/>
                <w:szCs w:val="24"/>
              </w:rPr>
            </w:pPr>
            <w:r>
              <w:rPr>
                <w:i/>
                <w:sz w:val="24"/>
                <w:szCs w:val="24"/>
              </w:rPr>
              <w:t>4134</w:t>
            </w:r>
          </w:p>
        </w:tc>
        <w:tc>
          <w:tcPr>
            <w:tcW w:w="1359" w:type="dxa"/>
            <w:tcBorders>
              <w:top w:val="thickThinLargeGap" w:sz="24" w:space="0" w:color="auto"/>
              <w:right w:val="double" w:sz="4" w:space="0" w:color="auto"/>
            </w:tcBorders>
            <w:vAlign w:val="bottom"/>
          </w:tcPr>
          <w:p w:rsidR="006A7B80" w:rsidRPr="00DC3228" w:rsidRDefault="006A7B80" w:rsidP="008619A6">
            <w:pPr>
              <w:contextualSpacing/>
              <w:jc w:val="center"/>
              <w:rPr>
                <w:i/>
                <w:sz w:val="24"/>
                <w:szCs w:val="24"/>
              </w:rPr>
            </w:pPr>
            <w:r>
              <w:rPr>
                <w:i/>
                <w:sz w:val="24"/>
                <w:szCs w:val="24"/>
              </w:rPr>
              <w:t>3925</w:t>
            </w:r>
          </w:p>
        </w:tc>
      </w:tr>
      <w:tr w:rsidR="006A7B80" w:rsidRPr="00DC3228" w:rsidTr="007119CD">
        <w:trPr>
          <w:trHeight w:val="428"/>
        </w:trPr>
        <w:tc>
          <w:tcPr>
            <w:tcW w:w="4111" w:type="dxa"/>
            <w:tcBorders>
              <w:top w:val="single" w:sz="4" w:space="0" w:color="auto"/>
              <w:left w:val="double" w:sz="4" w:space="0" w:color="auto"/>
              <w:bottom w:val="double" w:sz="4" w:space="0" w:color="auto"/>
            </w:tcBorders>
          </w:tcPr>
          <w:p w:rsidR="006A7B80" w:rsidRPr="00DC3228" w:rsidRDefault="006A7B80" w:rsidP="008619A6">
            <w:pPr>
              <w:contextualSpacing/>
              <w:jc w:val="center"/>
              <w:rPr>
                <w:b/>
                <w:sz w:val="24"/>
                <w:szCs w:val="24"/>
              </w:rPr>
            </w:pPr>
            <w:r>
              <w:rPr>
                <w:b/>
                <w:sz w:val="24"/>
                <w:szCs w:val="24"/>
              </w:rPr>
              <w:t>Рассмотрено президиумом</w:t>
            </w:r>
          </w:p>
        </w:tc>
        <w:tc>
          <w:tcPr>
            <w:tcW w:w="884" w:type="dxa"/>
            <w:tcBorders>
              <w:top w:val="single" w:sz="4" w:space="0" w:color="auto"/>
              <w:bottom w:val="double" w:sz="4" w:space="0" w:color="auto"/>
            </w:tcBorders>
            <w:vAlign w:val="bottom"/>
          </w:tcPr>
          <w:p w:rsidR="006A7B80" w:rsidRPr="00DC3228" w:rsidRDefault="006A7B80" w:rsidP="008619A6">
            <w:pPr>
              <w:contextualSpacing/>
              <w:jc w:val="center"/>
              <w:rPr>
                <w:b/>
                <w:i/>
              </w:rPr>
            </w:pPr>
            <w:r>
              <w:rPr>
                <w:b/>
                <w:i/>
              </w:rPr>
              <w:t>563</w:t>
            </w:r>
          </w:p>
        </w:tc>
        <w:tc>
          <w:tcPr>
            <w:tcW w:w="840" w:type="dxa"/>
            <w:tcBorders>
              <w:top w:val="single" w:sz="4" w:space="0" w:color="auto"/>
              <w:bottom w:val="double" w:sz="4" w:space="0" w:color="auto"/>
            </w:tcBorders>
            <w:vAlign w:val="bottom"/>
          </w:tcPr>
          <w:p w:rsidR="006A7B80" w:rsidRPr="00DC3228" w:rsidRDefault="006A7B80" w:rsidP="008619A6">
            <w:pPr>
              <w:contextualSpacing/>
              <w:jc w:val="center"/>
              <w:rPr>
                <w:b/>
                <w:i/>
              </w:rPr>
            </w:pPr>
            <w:r>
              <w:rPr>
                <w:b/>
                <w:i/>
              </w:rPr>
              <w:t>345</w:t>
            </w:r>
          </w:p>
        </w:tc>
        <w:tc>
          <w:tcPr>
            <w:tcW w:w="916" w:type="dxa"/>
            <w:tcBorders>
              <w:top w:val="single" w:sz="4" w:space="0" w:color="auto"/>
              <w:bottom w:val="double" w:sz="4" w:space="0" w:color="auto"/>
            </w:tcBorders>
            <w:vAlign w:val="bottom"/>
          </w:tcPr>
          <w:p w:rsidR="006A7B80" w:rsidRPr="00DC3228" w:rsidRDefault="006A7B80" w:rsidP="008619A6">
            <w:pPr>
              <w:contextualSpacing/>
              <w:jc w:val="center"/>
              <w:rPr>
                <w:b/>
                <w:i/>
              </w:rPr>
            </w:pPr>
            <w:r>
              <w:rPr>
                <w:b/>
                <w:i/>
              </w:rPr>
              <w:t>299</w:t>
            </w:r>
          </w:p>
        </w:tc>
        <w:tc>
          <w:tcPr>
            <w:tcW w:w="1080" w:type="dxa"/>
            <w:tcBorders>
              <w:top w:val="single" w:sz="4" w:space="0" w:color="auto"/>
              <w:bottom w:val="double" w:sz="4" w:space="0" w:color="auto"/>
            </w:tcBorders>
            <w:vAlign w:val="bottom"/>
          </w:tcPr>
          <w:p w:rsidR="006A7B80" w:rsidRPr="00DC3228" w:rsidRDefault="006A7B80" w:rsidP="008619A6">
            <w:pPr>
              <w:contextualSpacing/>
              <w:jc w:val="center"/>
              <w:rPr>
                <w:b/>
                <w:i/>
              </w:rPr>
            </w:pPr>
            <w:r>
              <w:rPr>
                <w:b/>
                <w:i/>
              </w:rPr>
              <w:t>316</w:t>
            </w:r>
          </w:p>
        </w:tc>
        <w:tc>
          <w:tcPr>
            <w:tcW w:w="1359" w:type="dxa"/>
            <w:tcBorders>
              <w:top w:val="single" w:sz="4" w:space="0" w:color="auto"/>
              <w:bottom w:val="double" w:sz="4" w:space="0" w:color="auto"/>
              <w:right w:val="double" w:sz="4" w:space="0" w:color="auto"/>
            </w:tcBorders>
            <w:vAlign w:val="bottom"/>
          </w:tcPr>
          <w:p w:rsidR="006A7B80" w:rsidRPr="00DC3228" w:rsidRDefault="006A7B80" w:rsidP="008619A6">
            <w:pPr>
              <w:contextualSpacing/>
              <w:jc w:val="center"/>
              <w:rPr>
                <w:b/>
                <w:i/>
              </w:rPr>
            </w:pPr>
            <w:r>
              <w:rPr>
                <w:b/>
                <w:i/>
              </w:rPr>
              <w:t>344</w:t>
            </w:r>
          </w:p>
        </w:tc>
      </w:tr>
    </w:tbl>
    <w:p w:rsidR="00C9685C" w:rsidRDefault="006A7B80" w:rsidP="008619A6">
      <w:pPr>
        <w:ind w:firstLine="900"/>
        <w:contextualSpacing/>
        <w:jc w:val="both"/>
        <w:rPr>
          <w:sz w:val="28"/>
          <w:szCs w:val="28"/>
        </w:rPr>
      </w:pPr>
      <w:r w:rsidRPr="00FD0CD0">
        <w:rPr>
          <w:sz w:val="28"/>
          <w:szCs w:val="28"/>
        </w:rPr>
        <w:t xml:space="preserve">В 2017 году рассмотрено 344 дела в отношении 355 лиц (из них по 12 делам производство прекращено). </w:t>
      </w:r>
      <w:r w:rsidR="005E1C6F">
        <w:rPr>
          <w:sz w:val="28"/>
          <w:szCs w:val="28"/>
        </w:rPr>
        <w:t xml:space="preserve">В среднем </w:t>
      </w:r>
      <w:r w:rsidR="005E1C6F" w:rsidRPr="00FD0CD0">
        <w:rPr>
          <w:sz w:val="28"/>
          <w:szCs w:val="28"/>
        </w:rPr>
        <w:t>пр</w:t>
      </w:r>
      <w:r w:rsidR="005E1C6F" w:rsidRPr="00FD0CD0">
        <w:rPr>
          <w:sz w:val="28"/>
          <w:szCs w:val="28"/>
        </w:rPr>
        <w:t>е</w:t>
      </w:r>
      <w:r w:rsidR="005E1C6F" w:rsidRPr="00FD0CD0">
        <w:rPr>
          <w:sz w:val="28"/>
          <w:szCs w:val="28"/>
        </w:rPr>
        <w:t xml:space="preserve">зидиум </w:t>
      </w:r>
      <w:r w:rsidR="005E1C6F">
        <w:rPr>
          <w:sz w:val="28"/>
          <w:szCs w:val="28"/>
        </w:rPr>
        <w:t>рассматривал по</w:t>
      </w:r>
      <w:r w:rsidR="005E1C6F" w:rsidRPr="005E1C6F">
        <w:rPr>
          <w:sz w:val="28"/>
          <w:szCs w:val="28"/>
        </w:rPr>
        <w:t xml:space="preserve"> 28,7 дел</w:t>
      </w:r>
      <w:r w:rsidR="005E1C6F" w:rsidRPr="00FD0CD0">
        <w:rPr>
          <w:sz w:val="28"/>
          <w:szCs w:val="28"/>
        </w:rPr>
        <w:t xml:space="preserve"> в месяц. </w:t>
      </w:r>
      <w:r w:rsidRPr="00FD0CD0">
        <w:rPr>
          <w:sz w:val="28"/>
          <w:szCs w:val="28"/>
        </w:rPr>
        <w:t>Для сравнения: в 2016 году было рассмотр</w:t>
      </w:r>
      <w:r w:rsidRPr="00FD0CD0">
        <w:rPr>
          <w:sz w:val="28"/>
          <w:szCs w:val="28"/>
        </w:rPr>
        <w:t>е</w:t>
      </w:r>
      <w:r>
        <w:rPr>
          <w:sz w:val="28"/>
          <w:szCs w:val="28"/>
        </w:rPr>
        <w:t xml:space="preserve">но </w:t>
      </w:r>
      <w:r w:rsidRPr="00FD0CD0">
        <w:rPr>
          <w:sz w:val="28"/>
          <w:szCs w:val="28"/>
        </w:rPr>
        <w:t xml:space="preserve">316 дел на 333 лица (по 5 делам производство прекращено). </w:t>
      </w:r>
    </w:p>
    <w:p w:rsidR="006A7B80" w:rsidRDefault="00C9685C" w:rsidP="008619A6">
      <w:pPr>
        <w:ind w:firstLine="851"/>
        <w:contextualSpacing/>
        <w:jc w:val="both"/>
        <w:rPr>
          <w:sz w:val="28"/>
          <w:szCs w:val="28"/>
        </w:rPr>
      </w:pPr>
      <w:r w:rsidRPr="00FD0CD0">
        <w:rPr>
          <w:sz w:val="28"/>
          <w:szCs w:val="28"/>
        </w:rPr>
        <w:t>Из общего числа рассмотренных в 2017 году президиумом Верховного Суда Республики Татарстан кассационных жалоб,</w:t>
      </w:r>
      <w:r>
        <w:rPr>
          <w:sz w:val="28"/>
          <w:szCs w:val="28"/>
        </w:rPr>
        <w:t xml:space="preserve"> 103 переданы</w:t>
      </w:r>
      <w:r w:rsidRPr="00FD0CD0">
        <w:rPr>
          <w:sz w:val="28"/>
          <w:szCs w:val="28"/>
        </w:rPr>
        <w:t xml:space="preserve"> судьями Верховного Суда Российской Федерации.</w:t>
      </w:r>
      <w:r w:rsidR="006A7B80" w:rsidRPr="00FD0CD0">
        <w:rPr>
          <w:sz w:val="28"/>
          <w:szCs w:val="28"/>
        </w:rPr>
        <w:t xml:space="preserve"> Из них удовлетворено – 87, оставлено без удовлетворения – 8, прекращено – 7, оставлен</w:t>
      </w:r>
      <w:r w:rsidR="00ED4806">
        <w:rPr>
          <w:sz w:val="28"/>
          <w:szCs w:val="28"/>
        </w:rPr>
        <w:t>а</w:t>
      </w:r>
      <w:r w:rsidR="006A7B80" w:rsidRPr="00FD0CD0">
        <w:rPr>
          <w:sz w:val="28"/>
          <w:szCs w:val="28"/>
        </w:rPr>
        <w:t xml:space="preserve"> без рассмотрения – 1 (в 2016 году из 105 внесенных жалоб 91 удовлетворен</w:t>
      </w:r>
      <w:r w:rsidR="00ED4806">
        <w:rPr>
          <w:sz w:val="28"/>
          <w:szCs w:val="28"/>
        </w:rPr>
        <w:t>а</w:t>
      </w:r>
      <w:r w:rsidR="006A7B80" w:rsidRPr="00FD0CD0">
        <w:rPr>
          <w:sz w:val="28"/>
          <w:szCs w:val="28"/>
        </w:rPr>
        <w:t>, 10 оставлено без удовлетвор</w:t>
      </w:r>
      <w:r w:rsidR="006A7B80" w:rsidRPr="00FD0CD0">
        <w:rPr>
          <w:sz w:val="28"/>
          <w:szCs w:val="28"/>
        </w:rPr>
        <w:t>е</w:t>
      </w:r>
      <w:r w:rsidR="006A7B80" w:rsidRPr="00FD0CD0">
        <w:rPr>
          <w:sz w:val="28"/>
          <w:szCs w:val="28"/>
        </w:rPr>
        <w:t xml:space="preserve">ния, прекращено – 4). </w:t>
      </w:r>
    </w:p>
    <w:p w:rsidR="006A7B80" w:rsidRPr="00935907" w:rsidRDefault="006A7B80" w:rsidP="008619A6">
      <w:pPr>
        <w:ind w:firstLine="900"/>
        <w:contextualSpacing/>
        <w:jc w:val="center"/>
        <w:rPr>
          <w:sz w:val="24"/>
          <w:szCs w:val="24"/>
        </w:rPr>
      </w:pPr>
      <w:r w:rsidRPr="005F18CB">
        <w:rPr>
          <w:sz w:val="24"/>
          <w:szCs w:val="24"/>
        </w:rPr>
        <w:t xml:space="preserve">                                                                                                               </w:t>
      </w:r>
      <w:r>
        <w:rPr>
          <w:sz w:val="24"/>
          <w:szCs w:val="24"/>
        </w:rPr>
        <w:t xml:space="preserve">     </w:t>
      </w:r>
      <w:r w:rsidRPr="005F18CB">
        <w:rPr>
          <w:sz w:val="24"/>
          <w:szCs w:val="24"/>
        </w:rPr>
        <w:t xml:space="preserve">  </w:t>
      </w:r>
      <w:r>
        <w:rPr>
          <w:sz w:val="24"/>
          <w:szCs w:val="24"/>
        </w:rPr>
        <w:t>Диаграмма 5</w:t>
      </w:r>
    </w:p>
    <w:p w:rsidR="006A7B80" w:rsidRDefault="006A7B80" w:rsidP="008619A6">
      <w:pPr>
        <w:ind w:firstLine="900"/>
        <w:contextualSpacing/>
        <w:jc w:val="both"/>
        <w:rPr>
          <w:sz w:val="28"/>
          <w:szCs w:val="28"/>
        </w:rPr>
      </w:pPr>
      <w:r>
        <w:rPr>
          <w:noProof/>
        </w:rPr>
        <w:drawing>
          <wp:inline distT="0" distB="0" distL="0" distR="0" wp14:anchorId="40F81DD6" wp14:editId="099D5FC1">
            <wp:extent cx="4596713" cy="2207741"/>
            <wp:effectExtent l="0" t="0" r="13970" b="2159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4806" w:rsidRDefault="00ED4806" w:rsidP="008619A6">
      <w:pPr>
        <w:ind w:firstLine="900"/>
        <w:contextualSpacing/>
        <w:jc w:val="both"/>
        <w:rPr>
          <w:sz w:val="28"/>
          <w:szCs w:val="28"/>
        </w:rPr>
      </w:pPr>
    </w:p>
    <w:p w:rsidR="006A7B80" w:rsidRDefault="006A7B80" w:rsidP="008619A6">
      <w:pPr>
        <w:ind w:firstLine="900"/>
        <w:contextualSpacing/>
        <w:jc w:val="both"/>
        <w:rPr>
          <w:sz w:val="28"/>
          <w:szCs w:val="28"/>
        </w:rPr>
      </w:pPr>
      <w:r w:rsidRPr="00F64539">
        <w:rPr>
          <w:sz w:val="28"/>
          <w:szCs w:val="28"/>
        </w:rPr>
        <w:t xml:space="preserve">В </w:t>
      </w:r>
      <w:r w:rsidR="00F70DEC">
        <w:rPr>
          <w:sz w:val="28"/>
          <w:szCs w:val="28"/>
        </w:rPr>
        <w:t>2017</w:t>
      </w:r>
      <w:r>
        <w:rPr>
          <w:sz w:val="28"/>
          <w:szCs w:val="28"/>
        </w:rPr>
        <w:t xml:space="preserve"> году президиумом </w:t>
      </w:r>
      <w:r w:rsidRPr="00F64539">
        <w:rPr>
          <w:sz w:val="28"/>
          <w:szCs w:val="28"/>
        </w:rPr>
        <w:t xml:space="preserve">отменено 46 апелляционных определений </w:t>
      </w:r>
      <w:r w:rsidR="00F70DEC">
        <w:rPr>
          <w:sz w:val="28"/>
          <w:szCs w:val="28"/>
        </w:rPr>
        <w:t>и</w:t>
      </w:r>
      <w:r w:rsidRPr="00F64539">
        <w:rPr>
          <w:sz w:val="28"/>
          <w:szCs w:val="28"/>
        </w:rPr>
        <w:t xml:space="preserve"> пр</w:t>
      </w:r>
      <w:r w:rsidRPr="00F64539">
        <w:rPr>
          <w:sz w:val="28"/>
          <w:szCs w:val="28"/>
        </w:rPr>
        <w:t>и</w:t>
      </w:r>
      <w:r w:rsidRPr="00F64539">
        <w:rPr>
          <w:sz w:val="28"/>
          <w:szCs w:val="28"/>
        </w:rPr>
        <w:t>говор</w:t>
      </w:r>
      <w:r w:rsidR="00F70DEC">
        <w:rPr>
          <w:sz w:val="28"/>
          <w:szCs w:val="28"/>
        </w:rPr>
        <w:t>ов</w:t>
      </w:r>
      <w:r w:rsidRPr="00F64539">
        <w:rPr>
          <w:sz w:val="28"/>
          <w:szCs w:val="28"/>
        </w:rPr>
        <w:t xml:space="preserve"> с направлением на новое рассмотрение или прекращением дела (в 2016 году </w:t>
      </w:r>
      <w:r w:rsidR="00C9685C">
        <w:rPr>
          <w:sz w:val="28"/>
          <w:szCs w:val="28"/>
        </w:rPr>
        <w:t>–</w:t>
      </w:r>
      <w:r w:rsidRPr="00F64539">
        <w:rPr>
          <w:sz w:val="28"/>
          <w:szCs w:val="28"/>
        </w:rPr>
        <w:t xml:space="preserve"> 67), изменено 74 апелляционных определени</w:t>
      </w:r>
      <w:r w:rsidR="00CF685D">
        <w:rPr>
          <w:sz w:val="28"/>
          <w:szCs w:val="28"/>
        </w:rPr>
        <w:t>я и приговоров</w:t>
      </w:r>
      <w:r w:rsidRPr="00F64539">
        <w:rPr>
          <w:sz w:val="28"/>
          <w:szCs w:val="28"/>
        </w:rPr>
        <w:t xml:space="preserve"> (в 2016 году </w:t>
      </w:r>
      <w:r w:rsidR="00C9685C">
        <w:rPr>
          <w:sz w:val="28"/>
          <w:szCs w:val="28"/>
        </w:rPr>
        <w:t>–</w:t>
      </w:r>
      <w:r>
        <w:rPr>
          <w:sz w:val="28"/>
          <w:szCs w:val="28"/>
        </w:rPr>
        <w:t xml:space="preserve"> </w:t>
      </w:r>
      <w:r w:rsidRPr="00F64539">
        <w:rPr>
          <w:sz w:val="28"/>
          <w:szCs w:val="28"/>
        </w:rPr>
        <w:t>69). Кроме того, отменено 11 апелляционных определ</w:t>
      </w:r>
      <w:r w:rsidRPr="00F64539">
        <w:rPr>
          <w:sz w:val="28"/>
          <w:szCs w:val="28"/>
        </w:rPr>
        <w:t>е</w:t>
      </w:r>
      <w:r w:rsidRPr="00F64539">
        <w:rPr>
          <w:sz w:val="28"/>
          <w:szCs w:val="28"/>
        </w:rPr>
        <w:t>ний с направлением на новое</w:t>
      </w:r>
      <w:r w:rsidR="00CF685D">
        <w:rPr>
          <w:sz w:val="28"/>
          <w:szCs w:val="28"/>
        </w:rPr>
        <w:t xml:space="preserve"> рассмотрение (в 2016 году </w:t>
      </w:r>
      <w:r w:rsidR="00C9685C">
        <w:rPr>
          <w:sz w:val="28"/>
          <w:szCs w:val="28"/>
        </w:rPr>
        <w:t>–</w:t>
      </w:r>
      <w:r w:rsidR="00CF685D">
        <w:rPr>
          <w:sz w:val="28"/>
          <w:szCs w:val="28"/>
        </w:rPr>
        <w:t xml:space="preserve"> 9) и</w:t>
      </w:r>
      <w:r w:rsidRPr="00F64539">
        <w:rPr>
          <w:sz w:val="28"/>
          <w:szCs w:val="28"/>
        </w:rPr>
        <w:t xml:space="preserve"> 4 апелляционных определения изменено (в 2016 году </w:t>
      </w:r>
      <w:r w:rsidR="00C9685C">
        <w:rPr>
          <w:sz w:val="28"/>
          <w:szCs w:val="28"/>
        </w:rPr>
        <w:t>не было</w:t>
      </w:r>
      <w:r>
        <w:rPr>
          <w:sz w:val="28"/>
          <w:szCs w:val="28"/>
        </w:rPr>
        <w:t>).</w:t>
      </w:r>
    </w:p>
    <w:p w:rsidR="0062353F" w:rsidRDefault="0062353F" w:rsidP="008619A6">
      <w:pPr>
        <w:ind w:firstLine="900"/>
        <w:contextualSpacing/>
        <w:jc w:val="both"/>
        <w:rPr>
          <w:b/>
          <w:sz w:val="28"/>
          <w:szCs w:val="28"/>
          <w:u w:val="single"/>
        </w:rPr>
      </w:pPr>
    </w:p>
    <w:p w:rsidR="006A7B80" w:rsidRDefault="006A7B80" w:rsidP="008619A6">
      <w:pPr>
        <w:ind w:firstLine="900"/>
        <w:contextualSpacing/>
        <w:jc w:val="both"/>
        <w:rPr>
          <w:b/>
          <w:sz w:val="28"/>
          <w:szCs w:val="28"/>
          <w:u w:val="single"/>
        </w:rPr>
      </w:pPr>
      <w:r w:rsidRPr="00581E04">
        <w:rPr>
          <w:b/>
          <w:sz w:val="28"/>
          <w:szCs w:val="28"/>
          <w:u w:val="single"/>
        </w:rPr>
        <w:t>Гражданское судопроизводств</w:t>
      </w:r>
      <w:r>
        <w:rPr>
          <w:b/>
          <w:sz w:val="28"/>
          <w:szCs w:val="28"/>
          <w:u w:val="single"/>
        </w:rPr>
        <w:t>о</w:t>
      </w:r>
    </w:p>
    <w:p w:rsidR="006A7B80" w:rsidRDefault="006A7B80" w:rsidP="008619A6">
      <w:pPr>
        <w:ind w:firstLine="900"/>
        <w:contextualSpacing/>
        <w:jc w:val="both"/>
        <w:rPr>
          <w:sz w:val="28"/>
          <w:szCs w:val="28"/>
        </w:rPr>
      </w:pPr>
      <w:r w:rsidRPr="005C523F">
        <w:rPr>
          <w:sz w:val="28"/>
          <w:szCs w:val="28"/>
          <w:u w:val="single"/>
        </w:rPr>
        <w:t>Первая инстанция</w:t>
      </w:r>
      <w:r w:rsidR="00212241">
        <w:rPr>
          <w:sz w:val="28"/>
          <w:szCs w:val="28"/>
          <w:u w:val="single"/>
        </w:rPr>
        <w:t xml:space="preserve">. </w:t>
      </w:r>
      <w:r w:rsidRPr="005C523F">
        <w:rPr>
          <w:sz w:val="28"/>
          <w:szCs w:val="28"/>
        </w:rPr>
        <w:t>В 2017 году количество поступивших гр</w:t>
      </w:r>
      <w:r>
        <w:rPr>
          <w:sz w:val="28"/>
          <w:szCs w:val="28"/>
        </w:rPr>
        <w:t>ажданских дел осталось неизменным по сравнению с предыдущим годом. Из числа пост</w:t>
      </w:r>
      <w:r>
        <w:rPr>
          <w:sz w:val="28"/>
          <w:szCs w:val="28"/>
        </w:rPr>
        <w:t>у</w:t>
      </w:r>
      <w:r>
        <w:rPr>
          <w:sz w:val="28"/>
          <w:szCs w:val="28"/>
        </w:rPr>
        <w:t xml:space="preserve">пивших дел 3 дела рассмотрены с вынесением решения (определения), </w:t>
      </w:r>
      <w:r>
        <w:rPr>
          <w:sz w:val="28"/>
          <w:szCs w:val="28"/>
        </w:rPr>
        <w:lastRenderedPageBreak/>
        <w:t>1 дело передано по подсу</w:t>
      </w:r>
      <w:r>
        <w:rPr>
          <w:sz w:val="28"/>
          <w:szCs w:val="28"/>
        </w:rPr>
        <w:t>д</w:t>
      </w:r>
      <w:r>
        <w:rPr>
          <w:sz w:val="28"/>
          <w:szCs w:val="28"/>
        </w:rPr>
        <w:t xml:space="preserve">ности. </w:t>
      </w:r>
      <w:r w:rsidR="0010783B">
        <w:rPr>
          <w:sz w:val="28"/>
          <w:szCs w:val="28"/>
        </w:rPr>
        <w:t>Значительное уменьшение количества поступивших дел в 2016 и 2017 годах связано с введением в действие Кодекса административного судопроизводства Российской Федерации.</w:t>
      </w:r>
    </w:p>
    <w:p w:rsidR="006A7B80" w:rsidRPr="00935907" w:rsidRDefault="006A7B80" w:rsidP="008619A6">
      <w:pPr>
        <w:ind w:firstLine="900"/>
        <w:contextualSpacing/>
        <w:jc w:val="center"/>
        <w:rPr>
          <w:sz w:val="24"/>
          <w:szCs w:val="24"/>
        </w:rPr>
      </w:pPr>
      <w:r w:rsidRPr="005F18CB">
        <w:rPr>
          <w:sz w:val="24"/>
          <w:szCs w:val="24"/>
        </w:rPr>
        <w:t xml:space="preserve">                                                                                                       </w:t>
      </w:r>
      <w:r>
        <w:rPr>
          <w:sz w:val="24"/>
          <w:szCs w:val="24"/>
        </w:rPr>
        <w:t xml:space="preserve">        Диаграмма 6</w:t>
      </w:r>
    </w:p>
    <w:p w:rsidR="006A7B80" w:rsidRDefault="006A7B80" w:rsidP="008619A6">
      <w:pPr>
        <w:ind w:firstLine="900"/>
        <w:contextualSpacing/>
        <w:jc w:val="both"/>
        <w:rPr>
          <w:sz w:val="28"/>
          <w:szCs w:val="28"/>
        </w:rPr>
      </w:pPr>
      <w:r>
        <w:rPr>
          <w:noProof/>
          <w:sz w:val="28"/>
          <w:szCs w:val="28"/>
        </w:rPr>
        <w:drawing>
          <wp:inline distT="0" distB="0" distL="0" distR="0" wp14:anchorId="756F2DC0" wp14:editId="453B1942">
            <wp:extent cx="4802659" cy="2117124"/>
            <wp:effectExtent l="0" t="0" r="17145" b="1651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A7B80" w:rsidRDefault="006A7B80" w:rsidP="008619A6">
      <w:pPr>
        <w:ind w:firstLine="900"/>
        <w:contextualSpacing/>
        <w:jc w:val="both"/>
        <w:rPr>
          <w:sz w:val="28"/>
          <w:szCs w:val="28"/>
        </w:rPr>
      </w:pPr>
      <w:r>
        <w:rPr>
          <w:sz w:val="28"/>
          <w:szCs w:val="28"/>
        </w:rPr>
        <w:t xml:space="preserve">Также в 2017 году судом </w:t>
      </w:r>
      <w:r w:rsidRPr="00210213">
        <w:rPr>
          <w:sz w:val="28"/>
          <w:szCs w:val="28"/>
        </w:rPr>
        <w:t>рассмотрено 16 ходатайств о признании и пр</w:t>
      </w:r>
      <w:r w:rsidRPr="00210213">
        <w:rPr>
          <w:sz w:val="28"/>
          <w:szCs w:val="28"/>
        </w:rPr>
        <w:t>и</w:t>
      </w:r>
      <w:r w:rsidRPr="00210213">
        <w:rPr>
          <w:sz w:val="28"/>
          <w:szCs w:val="28"/>
        </w:rPr>
        <w:t>нудительном исполнении решений иностранных судов на территории Росси</w:t>
      </w:r>
      <w:r w:rsidRPr="00210213">
        <w:rPr>
          <w:sz w:val="28"/>
          <w:szCs w:val="28"/>
        </w:rPr>
        <w:t>й</w:t>
      </w:r>
      <w:r w:rsidRPr="00210213">
        <w:rPr>
          <w:sz w:val="28"/>
          <w:szCs w:val="28"/>
        </w:rPr>
        <w:t>ской Федерации.</w:t>
      </w:r>
    </w:p>
    <w:p w:rsidR="006A7B80" w:rsidRPr="00935907" w:rsidRDefault="006A7B80" w:rsidP="008619A6">
      <w:pPr>
        <w:contextualSpacing/>
        <w:rPr>
          <w:sz w:val="24"/>
          <w:szCs w:val="24"/>
        </w:rPr>
      </w:pPr>
      <w:r w:rsidRPr="005F18CB">
        <w:rPr>
          <w:sz w:val="24"/>
          <w:szCs w:val="24"/>
        </w:rPr>
        <w:t xml:space="preserve"> </w:t>
      </w:r>
      <w:r w:rsidR="0062353F">
        <w:rPr>
          <w:sz w:val="24"/>
          <w:szCs w:val="24"/>
        </w:rPr>
        <w:t xml:space="preserve">        </w:t>
      </w:r>
      <w:r w:rsidRPr="005F18CB">
        <w:rPr>
          <w:sz w:val="24"/>
          <w:szCs w:val="24"/>
        </w:rPr>
        <w:t xml:space="preserve">                                                                                                               </w:t>
      </w:r>
      <w:r>
        <w:rPr>
          <w:sz w:val="24"/>
          <w:szCs w:val="24"/>
        </w:rPr>
        <w:t xml:space="preserve">  </w:t>
      </w:r>
      <w:r w:rsidRPr="005F18CB">
        <w:rPr>
          <w:sz w:val="24"/>
          <w:szCs w:val="24"/>
        </w:rPr>
        <w:t xml:space="preserve">      </w:t>
      </w:r>
      <w:r>
        <w:rPr>
          <w:sz w:val="24"/>
          <w:szCs w:val="24"/>
        </w:rPr>
        <w:t>Диаграмма 7</w:t>
      </w:r>
    </w:p>
    <w:p w:rsidR="006A7B80" w:rsidRPr="00210213" w:rsidRDefault="006A7B80" w:rsidP="008619A6">
      <w:pPr>
        <w:ind w:firstLine="900"/>
        <w:contextualSpacing/>
        <w:jc w:val="both"/>
        <w:rPr>
          <w:sz w:val="28"/>
          <w:szCs w:val="28"/>
        </w:rPr>
      </w:pPr>
      <w:r>
        <w:rPr>
          <w:noProof/>
          <w:sz w:val="28"/>
          <w:szCs w:val="28"/>
        </w:rPr>
        <w:drawing>
          <wp:inline distT="0" distB="0" distL="0" distR="0" wp14:anchorId="0744D238" wp14:editId="76416EA1">
            <wp:extent cx="4687329" cy="1960606"/>
            <wp:effectExtent l="0" t="0" r="0" b="190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1451" w:rsidRDefault="006A7B80" w:rsidP="008619A6">
      <w:pPr>
        <w:ind w:firstLine="900"/>
        <w:contextualSpacing/>
        <w:jc w:val="both"/>
        <w:rPr>
          <w:sz w:val="28"/>
          <w:szCs w:val="28"/>
        </w:rPr>
      </w:pPr>
      <w:r>
        <w:rPr>
          <w:sz w:val="28"/>
          <w:szCs w:val="28"/>
          <w:u w:val="single"/>
        </w:rPr>
        <w:t>Апелляционная инстанция</w:t>
      </w:r>
      <w:r w:rsidR="00212241" w:rsidRPr="00F50DF2">
        <w:rPr>
          <w:sz w:val="28"/>
          <w:szCs w:val="28"/>
        </w:rPr>
        <w:t xml:space="preserve">. </w:t>
      </w:r>
      <w:r w:rsidR="009E7420" w:rsidRPr="00F50DF2">
        <w:rPr>
          <w:sz w:val="28"/>
          <w:szCs w:val="28"/>
        </w:rPr>
        <w:t>В 2017 году в</w:t>
      </w:r>
      <w:r w:rsidRPr="00F50DF2">
        <w:rPr>
          <w:sz w:val="28"/>
          <w:szCs w:val="28"/>
        </w:rPr>
        <w:t xml:space="preserve"> Верховный Суд Республики Татарстан поступило 17866 дел. Из поступивших</w:t>
      </w:r>
      <w:r>
        <w:rPr>
          <w:sz w:val="28"/>
          <w:szCs w:val="28"/>
        </w:rPr>
        <w:t xml:space="preserve"> дел 16929</w:t>
      </w:r>
      <w:r w:rsidRPr="00742162">
        <w:rPr>
          <w:sz w:val="28"/>
          <w:szCs w:val="28"/>
        </w:rPr>
        <w:t xml:space="preserve"> окончено произво</w:t>
      </w:r>
      <w:r w:rsidRPr="00742162">
        <w:rPr>
          <w:sz w:val="28"/>
          <w:szCs w:val="28"/>
        </w:rPr>
        <w:t>д</w:t>
      </w:r>
      <w:r w:rsidRPr="00742162">
        <w:rPr>
          <w:sz w:val="28"/>
          <w:szCs w:val="28"/>
        </w:rPr>
        <w:t>ст</w:t>
      </w:r>
      <w:r>
        <w:rPr>
          <w:sz w:val="28"/>
          <w:szCs w:val="28"/>
        </w:rPr>
        <w:t xml:space="preserve">вом. </w:t>
      </w:r>
      <w:r w:rsidR="00AD1451">
        <w:rPr>
          <w:sz w:val="28"/>
          <w:szCs w:val="28"/>
        </w:rPr>
        <w:t xml:space="preserve">Последние пять лет наблюдается тенденция увеличения количества поступивших и рассмотренных гражданских дел в апелляционном порядке (см. Диаграмму 8). </w:t>
      </w:r>
    </w:p>
    <w:p w:rsidR="006A7B80" w:rsidRPr="00935907" w:rsidRDefault="006A7B80" w:rsidP="008619A6">
      <w:pPr>
        <w:ind w:firstLine="900"/>
        <w:contextualSpacing/>
        <w:jc w:val="center"/>
        <w:rPr>
          <w:sz w:val="24"/>
          <w:szCs w:val="24"/>
        </w:rPr>
      </w:pPr>
      <w:r w:rsidRPr="005F18CB">
        <w:rPr>
          <w:sz w:val="24"/>
          <w:szCs w:val="24"/>
        </w:rPr>
        <w:t xml:space="preserve">                                                                                                             </w:t>
      </w:r>
      <w:r>
        <w:rPr>
          <w:sz w:val="24"/>
          <w:szCs w:val="24"/>
        </w:rPr>
        <w:t xml:space="preserve">      </w:t>
      </w:r>
      <w:r w:rsidRPr="005F18CB">
        <w:rPr>
          <w:sz w:val="24"/>
          <w:szCs w:val="24"/>
        </w:rPr>
        <w:t xml:space="preserve">  </w:t>
      </w:r>
      <w:r>
        <w:rPr>
          <w:sz w:val="24"/>
          <w:szCs w:val="24"/>
        </w:rPr>
        <w:t>Диаграмма 8</w:t>
      </w:r>
    </w:p>
    <w:p w:rsidR="00AD1451" w:rsidRDefault="00AD1451" w:rsidP="008619A6">
      <w:pPr>
        <w:ind w:firstLine="900"/>
        <w:contextualSpacing/>
        <w:jc w:val="both"/>
        <w:rPr>
          <w:sz w:val="28"/>
          <w:szCs w:val="28"/>
        </w:rPr>
      </w:pPr>
      <w:r>
        <w:rPr>
          <w:noProof/>
        </w:rPr>
        <w:drawing>
          <wp:inline distT="0" distB="0" distL="0" distR="0" wp14:anchorId="473E10D9" wp14:editId="33192023">
            <wp:extent cx="4868562" cy="2323070"/>
            <wp:effectExtent l="0" t="0" r="8255" b="127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A7B80" w:rsidRDefault="00F50DF2" w:rsidP="008619A6">
      <w:pPr>
        <w:ind w:firstLine="900"/>
        <w:contextualSpacing/>
        <w:jc w:val="both"/>
        <w:rPr>
          <w:sz w:val="28"/>
          <w:szCs w:val="28"/>
        </w:rPr>
      </w:pPr>
      <w:r>
        <w:rPr>
          <w:sz w:val="28"/>
          <w:szCs w:val="28"/>
        </w:rPr>
        <w:lastRenderedPageBreak/>
        <w:t xml:space="preserve">Результаты рассмотрения дел в апелляционной инстанции характеризуются следующими показателями: 70% решений, вынесенных судами республики в 1 инстанции, оставлены без изменения; 13,8% решений отменено и 2,5% решений изменено. </w:t>
      </w:r>
      <w:r w:rsidR="00404B1D" w:rsidRPr="00C60718">
        <w:rPr>
          <w:sz w:val="28"/>
          <w:szCs w:val="28"/>
        </w:rPr>
        <w:t xml:space="preserve">Между тем можно констатировать, что </w:t>
      </w:r>
      <w:r w:rsidR="00FE50B9">
        <w:rPr>
          <w:sz w:val="28"/>
          <w:szCs w:val="28"/>
        </w:rPr>
        <w:t xml:space="preserve">в рамках пятилетнего интервала наблюдения </w:t>
      </w:r>
      <w:r w:rsidR="00404B1D" w:rsidRPr="00C60718">
        <w:rPr>
          <w:sz w:val="28"/>
          <w:szCs w:val="28"/>
        </w:rPr>
        <w:t>количес</w:t>
      </w:r>
      <w:r w:rsidR="00FE50B9">
        <w:rPr>
          <w:sz w:val="28"/>
          <w:szCs w:val="28"/>
        </w:rPr>
        <w:t>тво отмененных судебных решений, также как измененных имеет тенденцию к у</w:t>
      </w:r>
      <w:r w:rsidR="001E2057">
        <w:rPr>
          <w:sz w:val="28"/>
          <w:szCs w:val="28"/>
        </w:rPr>
        <w:t>велич</w:t>
      </w:r>
      <w:r w:rsidR="00FE50B9">
        <w:rPr>
          <w:sz w:val="28"/>
          <w:szCs w:val="28"/>
        </w:rPr>
        <w:t>ению.</w:t>
      </w:r>
      <w:proofErr w:type="gramStart"/>
      <w:r w:rsidR="00FE50B9">
        <w:rPr>
          <w:sz w:val="28"/>
          <w:szCs w:val="28"/>
        </w:rPr>
        <w:t xml:space="preserve"> </w:t>
      </w:r>
      <w:r w:rsidR="006A7B80" w:rsidRPr="00C60718">
        <w:rPr>
          <w:sz w:val="28"/>
          <w:szCs w:val="28"/>
        </w:rPr>
        <w:t>.</w:t>
      </w:r>
      <w:proofErr w:type="gramEnd"/>
    </w:p>
    <w:p w:rsidR="006A7B80" w:rsidRPr="00935907" w:rsidRDefault="006A7B80" w:rsidP="008619A6">
      <w:pPr>
        <w:ind w:firstLine="900"/>
        <w:contextualSpacing/>
        <w:jc w:val="center"/>
        <w:rPr>
          <w:sz w:val="24"/>
          <w:szCs w:val="24"/>
        </w:rPr>
      </w:pPr>
      <w:r w:rsidRPr="005F18CB">
        <w:rPr>
          <w:sz w:val="24"/>
          <w:szCs w:val="24"/>
        </w:rPr>
        <w:t xml:space="preserve">                                                                                                                  </w:t>
      </w:r>
      <w:r>
        <w:rPr>
          <w:sz w:val="24"/>
          <w:szCs w:val="24"/>
        </w:rPr>
        <w:t xml:space="preserve">   </w:t>
      </w:r>
      <w:r w:rsidRPr="005F18CB">
        <w:rPr>
          <w:sz w:val="24"/>
          <w:szCs w:val="24"/>
        </w:rPr>
        <w:t xml:space="preserve">      Та</w:t>
      </w:r>
      <w:r w:rsidRPr="005F18CB">
        <w:rPr>
          <w:sz w:val="24"/>
          <w:szCs w:val="24"/>
        </w:rPr>
        <w:t>б</w:t>
      </w:r>
      <w:r>
        <w:rPr>
          <w:sz w:val="24"/>
          <w:szCs w:val="24"/>
        </w:rPr>
        <w:t>лица 8</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4"/>
        <w:gridCol w:w="884"/>
        <w:gridCol w:w="840"/>
        <w:gridCol w:w="916"/>
        <w:gridCol w:w="1080"/>
        <w:gridCol w:w="1359"/>
      </w:tblGrid>
      <w:tr w:rsidR="006A7B80" w:rsidRPr="00DC3228" w:rsidTr="007C50D0">
        <w:trPr>
          <w:trHeight w:val="46"/>
          <w:jc w:val="center"/>
        </w:trPr>
        <w:tc>
          <w:tcPr>
            <w:tcW w:w="9213" w:type="dxa"/>
            <w:gridSpan w:val="6"/>
            <w:tcBorders>
              <w:top w:val="double" w:sz="4" w:space="0" w:color="auto"/>
              <w:left w:val="double" w:sz="4" w:space="0" w:color="auto"/>
              <w:bottom w:val="single" w:sz="4" w:space="0" w:color="auto"/>
              <w:right w:val="double" w:sz="4" w:space="0" w:color="auto"/>
            </w:tcBorders>
            <w:shd w:val="clear" w:color="auto" w:fill="auto"/>
            <w:vAlign w:val="center"/>
          </w:tcPr>
          <w:p w:rsidR="006A7B80" w:rsidRPr="00DC3228" w:rsidRDefault="006A7B80" w:rsidP="008619A6">
            <w:pPr>
              <w:contextualSpacing/>
              <w:jc w:val="center"/>
              <w:rPr>
                <w:b/>
                <w:sz w:val="24"/>
                <w:szCs w:val="24"/>
              </w:rPr>
            </w:pPr>
            <w:r>
              <w:rPr>
                <w:b/>
                <w:sz w:val="24"/>
                <w:szCs w:val="24"/>
              </w:rPr>
              <w:t>Результаты рассмотрения дел в апелляционном порядке</w:t>
            </w:r>
          </w:p>
        </w:tc>
      </w:tr>
      <w:tr w:rsidR="006A7B80" w:rsidRPr="00DC3228" w:rsidTr="007C50D0">
        <w:trPr>
          <w:trHeight w:val="284"/>
          <w:jc w:val="center"/>
        </w:trPr>
        <w:tc>
          <w:tcPr>
            <w:tcW w:w="4134" w:type="dxa"/>
            <w:tcBorders>
              <w:left w:val="double" w:sz="4" w:space="0" w:color="auto"/>
              <w:bottom w:val="thickThinLargeGap" w:sz="24" w:space="0" w:color="auto"/>
            </w:tcBorders>
            <w:shd w:val="clear" w:color="auto" w:fill="auto"/>
            <w:vAlign w:val="center"/>
          </w:tcPr>
          <w:p w:rsidR="006A7B80" w:rsidRPr="00DC3228" w:rsidRDefault="006A7B80" w:rsidP="008619A6">
            <w:pPr>
              <w:contextualSpacing/>
              <w:jc w:val="center"/>
              <w:rPr>
                <w:b/>
                <w:sz w:val="24"/>
                <w:szCs w:val="24"/>
              </w:rPr>
            </w:pPr>
          </w:p>
        </w:tc>
        <w:tc>
          <w:tcPr>
            <w:tcW w:w="884" w:type="dxa"/>
            <w:tcBorders>
              <w:bottom w:val="thickThinLargeGap" w:sz="24" w:space="0" w:color="auto"/>
            </w:tcBorders>
            <w:shd w:val="clear" w:color="auto" w:fill="auto"/>
            <w:vAlign w:val="center"/>
          </w:tcPr>
          <w:p w:rsidR="006A7B80" w:rsidRPr="00DC3228" w:rsidRDefault="006A7B80" w:rsidP="008619A6">
            <w:pPr>
              <w:contextualSpacing/>
              <w:jc w:val="center"/>
              <w:rPr>
                <w:b/>
                <w:sz w:val="24"/>
                <w:szCs w:val="24"/>
              </w:rPr>
            </w:pPr>
            <w:r w:rsidRPr="00DC3228">
              <w:rPr>
                <w:b/>
                <w:sz w:val="24"/>
                <w:szCs w:val="24"/>
                <w:lang w:val="en-US"/>
              </w:rPr>
              <w:t>201</w:t>
            </w:r>
            <w:r>
              <w:rPr>
                <w:b/>
                <w:sz w:val="24"/>
                <w:szCs w:val="24"/>
              </w:rPr>
              <w:t>3</w:t>
            </w:r>
          </w:p>
        </w:tc>
        <w:tc>
          <w:tcPr>
            <w:tcW w:w="840" w:type="dxa"/>
            <w:tcBorders>
              <w:bottom w:val="thickThinLargeGap" w:sz="24" w:space="0" w:color="auto"/>
            </w:tcBorders>
            <w:shd w:val="clear" w:color="auto" w:fill="auto"/>
            <w:vAlign w:val="center"/>
          </w:tcPr>
          <w:p w:rsidR="006A7B80" w:rsidRPr="00DC3228" w:rsidRDefault="006A7B80" w:rsidP="008619A6">
            <w:pPr>
              <w:contextualSpacing/>
              <w:jc w:val="center"/>
              <w:rPr>
                <w:b/>
                <w:sz w:val="24"/>
                <w:szCs w:val="24"/>
              </w:rPr>
            </w:pPr>
            <w:r w:rsidRPr="00DC3228">
              <w:rPr>
                <w:b/>
                <w:sz w:val="24"/>
                <w:szCs w:val="24"/>
              </w:rPr>
              <w:t>2</w:t>
            </w:r>
            <w:r>
              <w:rPr>
                <w:b/>
                <w:sz w:val="24"/>
                <w:szCs w:val="24"/>
              </w:rPr>
              <w:t>014</w:t>
            </w:r>
          </w:p>
        </w:tc>
        <w:tc>
          <w:tcPr>
            <w:tcW w:w="916" w:type="dxa"/>
            <w:tcBorders>
              <w:bottom w:val="thickThinLargeGap" w:sz="24" w:space="0" w:color="auto"/>
            </w:tcBorders>
            <w:shd w:val="clear" w:color="auto" w:fill="auto"/>
            <w:vAlign w:val="center"/>
          </w:tcPr>
          <w:p w:rsidR="006A7B80" w:rsidRPr="00DC3228" w:rsidRDefault="006A7B80" w:rsidP="008619A6">
            <w:pPr>
              <w:contextualSpacing/>
              <w:jc w:val="center"/>
              <w:rPr>
                <w:b/>
                <w:sz w:val="24"/>
                <w:szCs w:val="24"/>
              </w:rPr>
            </w:pPr>
            <w:r>
              <w:rPr>
                <w:b/>
                <w:sz w:val="24"/>
                <w:szCs w:val="24"/>
              </w:rPr>
              <w:t>2015</w:t>
            </w:r>
          </w:p>
        </w:tc>
        <w:tc>
          <w:tcPr>
            <w:tcW w:w="1080" w:type="dxa"/>
            <w:tcBorders>
              <w:bottom w:val="thickThinLargeGap" w:sz="24" w:space="0" w:color="auto"/>
            </w:tcBorders>
            <w:shd w:val="clear" w:color="auto" w:fill="auto"/>
            <w:vAlign w:val="center"/>
          </w:tcPr>
          <w:p w:rsidR="006A7B80" w:rsidRPr="00DC3228" w:rsidRDefault="006A7B80" w:rsidP="008619A6">
            <w:pPr>
              <w:contextualSpacing/>
              <w:jc w:val="center"/>
              <w:rPr>
                <w:b/>
                <w:sz w:val="24"/>
                <w:szCs w:val="24"/>
              </w:rPr>
            </w:pPr>
            <w:r>
              <w:rPr>
                <w:b/>
                <w:sz w:val="24"/>
                <w:szCs w:val="24"/>
              </w:rPr>
              <w:t>2016</w:t>
            </w:r>
          </w:p>
        </w:tc>
        <w:tc>
          <w:tcPr>
            <w:tcW w:w="1359" w:type="dxa"/>
            <w:tcBorders>
              <w:bottom w:val="thickThinLargeGap" w:sz="24" w:space="0" w:color="auto"/>
              <w:right w:val="double" w:sz="4" w:space="0" w:color="auto"/>
            </w:tcBorders>
            <w:shd w:val="clear" w:color="auto" w:fill="auto"/>
            <w:vAlign w:val="center"/>
          </w:tcPr>
          <w:p w:rsidR="006A7B80" w:rsidRPr="00DC3228" w:rsidRDefault="006A7B80" w:rsidP="008619A6">
            <w:pPr>
              <w:contextualSpacing/>
              <w:jc w:val="center"/>
              <w:rPr>
                <w:b/>
                <w:sz w:val="24"/>
                <w:szCs w:val="24"/>
              </w:rPr>
            </w:pPr>
            <w:r>
              <w:rPr>
                <w:b/>
                <w:sz w:val="24"/>
                <w:szCs w:val="24"/>
              </w:rPr>
              <w:t>2017</w:t>
            </w:r>
          </w:p>
        </w:tc>
      </w:tr>
      <w:tr w:rsidR="006A7B80" w:rsidRPr="00DC3228" w:rsidTr="007C50D0">
        <w:trPr>
          <w:trHeight w:val="288"/>
          <w:jc w:val="center"/>
        </w:trPr>
        <w:tc>
          <w:tcPr>
            <w:tcW w:w="4134" w:type="dxa"/>
            <w:tcBorders>
              <w:top w:val="thickThinLargeGap" w:sz="24" w:space="0" w:color="auto"/>
              <w:left w:val="double" w:sz="4" w:space="0" w:color="auto"/>
            </w:tcBorders>
            <w:vAlign w:val="center"/>
          </w:tcPr>
          <w:p w:rsidR="006A7B80" w:rsidRPr="00DC3228" w:rsidRDefault="006A7B80" w:rsidP="008619A6">
            <w:pPr>
              <w:contextualSpacing/>
              <w:jc w:val="center"/>
              <w:rPr>
                <w:b/>
                <w:sz w:val="24"/>
                <w:szCs w:val="24"/>
              </w:rPr>
            </w:pPr>
            <w:r>
              <w:rPr>
                <w:b/>
                <w:sz w:val="24"/>
                <w:szCs w:val="24"/>
              </w:rPr>
              <w:t>Всего поступило в апелляционную инстанцию</w:t>
            </w:r>
          </w:p>
        </w:tc>
        <w:tc>
          <w:tcPr>
            <w:tcW w:w="884" w:type="dxa"/>
            <w:tcBorders>
              <w:top w:val="thickThinLargeGap" w:sz="24" w:space="0" w:color="auto"/>
            </w:tcBorders>
            <w:vAlign w:val="center"/>
          </w:tcPr>
          <w:p w:rsidR="006A7B80" w:rsidRPr="00DC3228" w:rsidRDefault="006A7B80" w:rsidP="008619A6">
            <w:pPr>
              <w:contextualSpacing/>
              <w:jc w:val="center"/>
              <w:rPr>
                <w:i/>
                <w:sz w:val="24"/>
                <w:szCs w:val="24"/>
              </w:rPr>
            </w:pPr>
            <w:r>
              <w:rPr>
                <w:i/>
                <w:sz w:val="24"/>
                <w:szCs w:val="24"/>
              </w:rPr>
              <w:t>16027</w:t>
            </w:r>
          </w:p>
        </w:tc>
        <w:tc>
          <w:tcPr>
            <w:tcW w:w="840" w:type="dxa"/>
            <w:tcBorders>
              <w:top w:val="thickThinLargeGap" w:sz="24" w:space="0" w:color="auto"/>
            </w:tcBorders>
            <w:vAlign w:val="center"/>
          </w:tcPr>
          <w:p w:rsidR="006A7B80" w:rsidRPr="00DC3228" w:rsidRDefault="006A7B80" w:rsidP="008619A6">
            <w:pPr>
              <w:contextualSpacing/>
              <w:jc w:val="center"/>
              <w:rPr>
                <w:i/>
                <w:sz w:val="24"/>
                <w:szCs w:val="24"/>
              </w:rPr>
            </w:pPr>
            <w:r>
              <w:rPr>
                <w:i/>
                <w:sz w:val="24"/>
                <w:szCs w:val="24"/>
              </w:rPr>
              <w:t>17284</w:t>
            </w:r>
          </w:p>
        </w:tc>
        <w:tc>
          <w:tcPr>
            <w:tcW w:w="916" w:type="dxa"/>
            <w:tcBorders>
              <w:top w:val="thickThinLargeGap" w:sz="24" w:space="0" w:color="auto"/>
            </w:tcBorders>
            <w:vAlign w:val="center"/>
          </w:tcPr>
          <w:p w:rsidR="006A7B80" w:rsidRPr="00DC3228" w:rsidRDefault="006A7B80" w:rsidP="008619A6">
            <w:pPr>
              <w:contextualSpacing/>
              <w:jc w:val="center"/>
              <w:rPr>
                <w:i/>
                <w:sz w:val="24"/>
                <w:szCs w:val="24"/>
              </w:rPr>
            </w:pPr>
            <w:r>
              <w:rPr>
                <w:i/>
                <w:sz w:val="24"/>
                <w:szCs w:val="24"/>
              </w:rPr>
              <w:t>19398</w:t>
            </w:r>
          </w:p>
        </w:tc>
        <w:tc>
          <w:tcPr>
            <w:tcW w:w="1080" w:type="dxa"/>
            <w:tcBorders>
              <w:top w:val="thickThinLargeGap" w:sz="24" w:space="0" w:color="auto"/>
            </w:tcBorders>
            <w:vAlign w:val="center"/>
          </w:tcPr>
          <w:p w:rsidR="006A7B80" w:rsidRPr="00DC3228" w:rsidRDefault="006A7B80" w:rsidP="008619A6">
            <w:pPr>
              <w:contextualSpacing/>
              <w:jc w:val="center"/>
              <w:rPr>
                <w:i/>
                <w:sz w:val="24"/>
                <w:szCs w:val="24"/>
              </w:rPr>
            </w:pPr>
            <w:r>
              <w:rPr>
                <w:i/>
                <w:sz w:val="24"/>
                <w:szCs w:val="24"/>
              </w:rPr>
              <w:t>18913</w:t>
            </w:r>
          </w:p>
        </w:tc>
        <w:tc>
          <w:tcPr>
            <w:tcW w:w="1359" w:type="dxa"/>
            <w:tcBorders>
              <w:top w:val="thickThinLargeGap" w:sz="24" w:space="0" w:color="auto"/>
              <w:right w:val="double" w:sz="4" w:space="0" w:color="auto"/>
            </w:tcBorders>
            <w:vAlign w:val="center"/>
          </w:tcPr>
          <w:p w:rsidR="006A7B80" w:rsidRPr="00DC3228" w:rsidRDefault="006A7B80" w:rsidP="008619A6">
            <w:pPr>
              <w:contextualSpacing/>
              <w:jc w:val="center"/>
              <w:rPr>
                <w:i/>
                <w:sz w:val="24"/>
                <w:szCs w:val="24"/>
              </w:rPr>
            </w:pPr>
            <w:r>
              <w:rPr>
                <w:i/>
                <w:sz w:val="24"/>
                <w:szCs w:val="24"/>
              </w:rPr>
              <w:t>17866</w:t>
            </w:r>
          </w:p>
        </w:tc>
      </w:tr>
      <w:tr w:rsidR="006A7B80" w:rsidRPr="00DC3228" w:rsidTr="007C50D0">
        <w:trPr>
          <w:trHeight w:val="209"/>
          <w:jc w:val="center"/>
        </w:trPr>
        <w:tc>
          <w:tcPr>
            <w:tcW w:w="4134" w:type="dxa"/>
            <w:tcBorders>
              <w:top w:val="single" w:sz="4" w:space="0" w:color="auto"/>
              <w:left w:val="double" w:sz="4" w:space="0" w:color="auto"/>
              <w:bottom w:val="single" w:sz="4" w:space="0" w:color="auto"/>
            </w:tcBorders>
            <w:vAlign w:val="center"/>
          </w:tcPr>
          <w:p w:rsidR="006A7B80" w:rsidRPr="00DC3228" w:rsidRDefault="006A7B80" w:rsidP="008619A6">
            <w:pPr>
              <w:contextualSpacing/>
              <w:jc w:val="center"/>
              <w:rPr>
                <w:b/>
                <w:sz w:val="24"/>
                <w:szCs w:val="24"/>
              </w:rPr>
            </w:pPr>
            <w:r>
              <w:rPr>
                <w:b/>
                <w:sz w:val="24"/>
                <w:szCs w:val="24"/>
              </w:rPr>
              <w:t>Окончено производством дел</w:t>
            </w:r>
          </w:p>
        </w:tc>
        <w:tc>
          <w:tcPr>
            <w:tcW w:w="884" w:type="dxa"/>
            <w:tcBorders>
              <w:top w:val="single" w:sz="4" w:space="0" w:color="auto"/>
              <w:bottom w:val="single" w:sz="4" w:space="0" w:color="auto"/>
            </w:tcBorders>
            <w:vAlign w:val="center"/>
          </w:tcPr>
          <w:p w:rsidR="006A7B80" w:rsidRPr="00DC3228" w:rsidRDefault="006A7B80" w:rsidP="008619A6">
            <w:pPr>
              <w:contextualSpacing/>
              <w:jc w:val="center"/>
              <w:rPr>
                <w:b/>
                <w:i/>
              </w:rPr>
            </w:pPr>
            <w:r>
              <w:rPr>
                <w:b/>
                <w:i/>
              </w:rPr>
              <w:t>14892</w:t>
            </w:r>
          </w:p>
        </w:tc>
        <w:tc>
          <w:tcPr>
            <w:tcW w:w="840" w:type="dxa"/>
            <w:tcBorders>
              <w:top w:val="single" w:sz="4" w:space="0" w:color="auto"/>
              <w:bottom w:val="single" w:sz="4" w:space="0" w:color="auto"/>
            </w:tcBorders>
            <w:vAlign w:val="center"/>
          </w:tcPr>
          <w:p w:rsidR="006A7B80" w:rsidRPr="00DC3228" w:rsidRDefault="006A7B80" w:rsidP="008619A6">
            <w:pPr>
              <w:contextualSpacing/>
              <w:jc w:val="center"/>
              <w:rPr>
                <w:b/>
                <w:i/>
              </w:rPr>
            </w:pPr>
            <w:r>
              <w:rPr>
                <w:b/>
                <w:i/>
              </w:rPr>
              <w:t>16164</w:t>
            </w:r>
          </w:p>
        </w:tc>
        <w:tc>
          <w:tcPr>
            <w:tcW w:w="916" w:type="dxa"/>
            <w:tcBorders>
              <w:top w:val="single" w:sz="4" w:space="0" w:color="auto"/>
              <w:bottom w:val="single" w:sz="4" w:space="0" w:color="auto"/>
            </w:tcBorders>
            <w:vAlign w:val="center"/>
          </w:tcPr>
          <w:p w:rsidR="006A7B80" w:rsidRPr="00DC3228" w:rsidRDefault="006A7B80" w:rsidP="008619A6">
            <w:pPr>
              <w:contextualSpacing/>
              <w:jc w:val="center"/>
              <w:rPr>
                <w:b/>
                <w:i/>
              </w:rPr>
            </w:pPr>
            <w:r>
              <w:rPr>
                <w:b/>
                <w:i/>
              </w:rPr>
              <w:t>17917</w:t>
            </w:r>
          </w:p>
        </w:tc>
        <w:tc>
          <w:tcPr>
            <w:tcW w:w="1080" w:type="dxa"/>
            <w:tcBorders>
              <w:top w:val="single" w:sz="4" w:space="0" w:color="auto"/>
              <w:bottom w:val="single" w:sz="4" w:space="0" w:color="auto"/>
            </w:tcBorders>
            <w:vAlign w:val="center"/>
          </w:tcPr>
          <w:p w:rsidR="006A7B80" w:rsidRPr="00DC3228" w:rsidRDefault="006A7B80" w:rsidP="008619A6">
            <w:pPr>
              <w:contextualSpacing/>
              <w:jc w:val="center"/>
              <w:rPr>
                <w:b/>
                <w:i/>
              </w:rPr>
            </w:pPr>
            <w:r>
              <w:rPr>
                <w:b/>
                <w:i/>
              </w:rPr>
              <w:t>18075</w:t>
            </w:r>
          </w:p>
        </w:tc>
        <w:tc>
          <w:tcPr>
            <w:tcW w:w="1359" w:type="dxa"/>
            <w:tcBorders>
              <w:top w:val="single" w:sz="4" w:space="0" w:color="auto"/>
              <w:bottom w:val="single" w:sz="4" w:space="0" w:color="auto"/>
              <w:right w:val="double" w:sz="4" w:space="0" w:color="auto"/>
            </w:tcBorders>
            <w:vAlign w:val="center"/>
          </w:tcPr>
          <w:p w:rsidR="006A7B80" w:rsidRPr="00DC3228" w:rsidRDefault="006A7B80" w:rsidP="008619A6">
            <w:pPr>
              <w:contextualSpacing/>
              <w:jc w:val="center"/>
              <w:rPr>
                <w:b/>
                <w:i/>
              </w:rPr>
            </w:pPr>
            <w:r>
              <w:rPr>
                <w:b/>
                <w:i/>
              </w:rPr>
              <w:t>16929</w:t>
            </w:r>
          </w:p>
        </w:tc>
      </w:tr>
      <w:tr w:rsidR="006A7B80" w:rsidRPr="00DC3228" w:rsidTr="007C50D0">
        <w:trPr>
          <w:trHeight w:val="213"/>
          <w:jc w:val="center"/>
        </w:trPr>
        <w:tc>
          <w:tcPr>
            <w:tcW w:w="4134" w:type="dxa"/>
            <w:tcBorders>
              <w:top w:val="single" w:sz="4" w:space="0" w:color="auto"/>
              <w:left w:val="double" w:sz="4" w:space="0" w:color="auto"/>
              <w:bottom w:val="single" w:sz="4" w:space="0" w:color="auto"/>
            </w:tcBorders>
            <w:vAlign w:val="center"/>
          </w:tcPr>
          <w:p w:rsidR="006A7B80" w:rsidRDefault="006A7B80" w:rsidP="008619A6">
            <w:pPr>
              <w:contextualSpacing/>
              <w:jc w:val="center"/>
              <w:rPr>
                <w:b/>
                <w:sz w:val="24"/>
                <w:szCs w:val="24"/>
              </w:rPr>
            </w:pPr>
            <w:r>
              <w:rPr>
                <w:b/>
                <w:sz w:val="24"/>
                <w:szCs w:val="24"/>
              </w:rPr>
              <w:t>Оставлено решений без изменений</w:t>
            </w:r>
          </w:p>
        </w:tc>
        <w:tc>
          <w:tcPr>
            <w:tcW w:w="884" w:type="dxa"/>
            <w:tcBorders>
              <w:top w:val="single" w:sz="4" w:space="0" w:color="auto"/>
              <w:bottom w:val="single" w:sz="4" w:space="0" w:color="auto"/>
            </w:tcBorders>
            <w:vAlign w:val="center"/>
          </w:tcPr>
          <w:p w:rsidR="006A7B80" w:rsidRDefault="006A7B80" w:rsidP="008619A6">
            <w:pPr>
              <w:contextualSpacing/>
              <w:jc w:val="center"/>
              <w:rPr>
                <w:b/>
                <w:i/>
              </w:rPr>
            </w:pPr>
            <w:r>
              <w:rPr>
                <w:b/>
                <w:i/>
              </w:rPr>
              <w:t>10753</w:t>
            </w:r>
          </w:p>
        </w:tc>
        <w:tc>
          <w:tcPr>
            <w:tcW w:w="840" w:type="dxa"/>
            <w:tcBorders>
              <w:top w:val="single" w:sz="4" w:space="0" w:color="auto"/>
              <w:bottom w:val="single" w:sz="4" w:space="0" w:color="auto"/>
            </w:tcBorders>
            <w:vAlign w:val="center"/>
          </w:tcPr>
          <w:p w:rsidR="006A7B80" w:rsidRDefault="006A7B80" w:rsidP="008619A6">
            <w:pPr>
              <w:contextualSpacing/>
              <w:jc w:val="center"/>
              <w:rPr>
                <w:b/>
                <w:i/>
              </w:rPr>
            </w:pPr>
            <w:r>
              <w:rPr>
                <w:b/>
                <w:i/>
              </w:rPr>
              <w:t>11743</w:t>
            </w:r>
          </w:p>
        </w:tc>
        <w:tc>
          <w:tcPr>
            <w:tcW w:w="916" w:type="dxa"/>
            <w:tcBorders>
              <w:top w:val="single" w:sz="4" w:space="0" w:color="auto"/>
              <w:bottom w:val="single" w:sz="4" w:space="0" w:color="auto"/>
            </w:tcBorders>
            <w:vAlign w:val="center"/>
          </w:tcPr>
          <w:p w:rsidR="006A7B80" w:rsidRDefault="006A7B80" w:rsidP="008619A6">
            <w:pPr>
              <w:contextualSpacing/>
              <w:jc w:val="center"/>
              <w:rPr>
                <w:b/>
                <w:i/>
              </w:rPr>
            </w:pPr>
            <w:r>
              <w:rPr>
                <w:b/>
                <w:i/>
              </w:rPr>
              <w:t>12803</w:t>
            </w:r>
          </w:p>
        </w:tc>
        <w:tc>
          <w:tcPr>
            <w:tcW w:w="1080" w:type="dxa"/>
            <w:tcBorders>
              <w:top w:val="single" w:sz="4" w:space="0" w:color="auto"/>
              <w:bottom w:val="single" w:sz="4" w:space="0" w:color="auto"/>
            </w:tcBorders>
            <w:vAlign w:val="center"/>
          </w:tcPr>
          <w:p w:rsidR="006A7B80" w:rsidRDefault="006A7B80" w:rsidP="008619A6">
            <w:pPr>
              <w:contextualSpacing/>
              <w:jc w:val="center"/>
              <w:rPr>
                <w:b/>
                <w:i/>
              </w:rPr>
            </w:pPr>
            <w:r>
              <w:rPr>
                <w:b/>
                <w:i/>
              </w:rPr>
              <w:t>12995</w:t>
            </w:r>
          </w:p>
        </w:tc>
        <w:tc>
          <w:tcPr>
            <w:tcW w:w="1359" w:type="dxa"/>
            <w:tcBorders>
              <w:top w:val="single" w:sz="4" w:space="0" w:color="auto"/>
              <w:bottom w:val="single" w:sz="4" w:space="0" w:color="auto"/>
              <w:right w:val="double" w:sz="4" w:space="0" w:color="auto"/>
            </w:tcBorders>
            <w:vAlign w:val="center"/>
          </w:tcPr>
          <w:p w:rsidR="006A7B80" w:rsidRDefault="006A7B80" w:rsidP="008619A6">
            <w:pPr>
              <w:contextualSpacing/>
              <w:jc w:val="center"/>
              <w:rPr>
                <w:b/>
                <w:i/>
              </w:rPr>
            </w:pPr>
            <w:r>
              <w:rPr>
                <w:b/>
                <w:i/>
              </w:rPr>
              <w:t>11853</w:t>
            </w:r>
          </w:p>
        </w:tc>
      </w:tr>
      <w:tr w:rsidR="006A7B80" w:rsidRPr="00DC3228" w:rsidTr="007C50D0">
        <w:trPr>
          <w:trHeight w:val="217"/>
          <w:jc w:val="center"/>
        </w:trPr>
        <w:tc>
          <w:tcPr>
            <w:tcW w:w="4134" w:type="dxa"/>
            <w:tcBorders>
              <w:top w:val="single" w:sz="4" w:space="0" w:color="auto"/>
              <w:left w:val="double" w:sz="4" w:space="0" w:color="auto"/>
              <w:bottom w:val="single" w:sz="4" w:space="0" w:color="auto"/>
            </w:tcBorders>
            <w:vAlign w:val="center"/>
          </w:tcPr>
          <w:p w:rsidR="006A7B80" w:rsidRDefault="006A7B80" w:rsidP="008619A6">
            <w:pPr>
              <w:contextualSpacing/>
              <w:jc w:val="center"/>
              <w:rPr>
                <w:b/>
                <w:sz w:val="24"/>
                <w:szCs w:val="24"/>
              </w:rPr>
            </w:pPr>
            <w:r>
              <w:rPr>
                <w:b/>
                <w:sz w:val="24"/>
                <w:szCs w:val="24"/>
              </w:rPr>
              <w:t>Решений отменено</w:t>
            </w:r>
          </w:p>
        </w:tc>
        <w:tc>
          <w:tcPr>
            <w:tcW w:w="884" w:type="dxa"/>
            <w:tcBorders>
              <w:top w:val="single" w:sz="4" w:space="0" w:color="auto"/>
              <w:bottom w:val="single" w:sz="4" w:space="0" w:color="auto"/>
            </w:tcBorders>
            <w:vAlign w:val="center"/>
          </w:tcPr>
          <w:p w:rsidR="006A7B80" w:rsidRDefault="006A7B80" w:rsidP="008619A6">
            <w:pPr>
              <w:contextualSpacing/>
              <w:jc w:val="center"/>
              <w:rPr>
                <w:b/>
                <w:i/>
              </w:rPr>
            </w:pPr>
            <w:r>
              <w:rPr>
                <w:b/>
                <w:i/>
              </w:rPr>
              <w:t>2218</w:t>
            </w:r>
          </w:p>
        </w:tc>
        <w:tc>
          <w:tcPr>
            <w:tcW w:w="840" w:type="dxa"/>
            <w:tcBorders>
              <w:top w:val="single" w:sz="4" w:space="0" w:color="auto"/>
              <w:bottom w:val="single" w:sz="4" w:space="0" w:color="auto"/>
            </w:tcBorders>
            <w:vAlign w:val="center"/>
          </w:tcPr>
          <w:p w:rsidR="006A7B80" w:rsidRDefault="006A7B80" w:rsidP="008619A6">
            <w:pPr>
              <w:contextualSpacing/>
              <w:jc w:val="center"/>
              <w:rPr>
                <w:b/>
                <w:i/>
              </w:rPr>
            </w:pPr>
            <w:r>
              <w:rPr>
                <w:b/>
                <w:i/>
              </w:rPr>
              <w:t>2256</w:t>
            </w:r>
          </w:p>
        </w:tc>
        <w:tc>
          <w:tcPr>
            <w:tcW w:w="916" w:type="dxa"/>
            <w:tcBorders>
              <w:top w:val="single" w:sz="4" w:space="0" w:color="auto"/>
              <w:bottom w:val="single" w:sz="4" w:space="0" w:color="auto"/>
            </w:tcBorders>
            <w:vAlign w:val="center"/>
          </w:tcPr>
          <w:p w:rsidR="006A7B80" w:rsidRDefault="006A7B80" w:rsidP="008619A6">
            <w:pPr>
              <w:contextualSpacing/>
              <w:jc w:val="center"/>
              <w:rPr>
                <w:b/>
                <w:i/>
              </w:rPr>
            </w:pPr>
            <w:r>
              <w:rPr>
                <w:b/>
                <w:i/>
              </w:rPr>
              <w:t>2348</w:t>
            </w:r>
          </w:p>
        </w:tc>
        <w:tc>
          <w:tcPr>
            <w:tcW w:w="1080" w:type="dxa"/>
            <w:tcBorders>
              <w:top w:val="single" w:sz="4" w:space="0" w:color="auto"/>
              <w:bottom w:val="single" w:sz="4" w:space="0" w:color="auto"/>
            </w:tcBorders>
            <w:vAlign w:val="center"/>
          </w:tcPr>
          <w:p w:rsidR="006A7B80" w:rsidRDefault="006A7B80" w:rsidP="008619A6">
            <w:pPr>
              <w:contextualSpacing/>
              <w:jc w:val="center"/>
              <w:rPr>
                <w:b/>
                <w:i/>
              </w:rPr>
            </w:pPr>
            <w:r>
              <w:rPr>
                <w:b/>
                <w:i/>
              </w:rPr>
              <w:t>2208</w:t>
            </w:r>
          </w:p>
        </w:tc>
        <w:tc>
          <w:tcPr>
            <w:tcW w:w="1359" w:type="dxa"/>
            <w:tcBorders>
              <w:top w:val="single" w:sz="4" w:space="0" w:color="auto"/>
              <w:bottom w:val="single" w:sz="4" w:space="0" w:color="auto"/>
              <w:right w:val="double" w:sz="4" w:space="0" w:color="auto"/>
            </w:tcBorders>
            <w:vAlign w:val="center"/>
          </w:tcPr>
          <w:p w:rsidR="006A7B80" w:rsidRDefault="006A7B80" w:rsidP="008619A6">
            <w:pPr>
              <w:contextualSpacing/>
              <w:jc w:val="center"/>
              <w:rPr>
                <w:b/>
                <w:i/>
              </w:rPr>
            </w:pPr>
            <w:r>
              <w:rPr>
                <w:b/>
                <w:i/>
              </w:rPr>
              <w:t>2339</w:t>
            </w:r>
          </w:p>
        </w:tc>
      </w:tr>
      <w:tr w:rsidR="006A7B80" w:rsidRPr="00DC3228" w:rsidTr="007C50D0">
        <w:trPr>
          <w:trHeight w:val="66"/>
          <w:jc w:val="center"/>
        </w:trPr>
        <w:tc>
          <w:tcPr>
            <w:tcW w:w="4134" w:type="dxa"/>
            <w:tcBorders>
              <w:top w:val="single" w:sz="4" w:space="0" w:color="auto"/>
              <w:left w:val="double" w:sz="4" w:space="0" w:color="auto"/>
              <w:bottom w:val="double" w:sz="4" w:space="0" w:color="auto"/>
            </w:tcBorders>
            <w:vAlign w:val="center"/>
          </w:tcPr>
          <w:p w:rsidR="006A7B80" w:rsidRDefault="006A7B80" w:rsidP="008619A6">
            <w:pPr>
              <w:contextualSpacing/>
              <w:jc w:val="center"/>
              <w:rPr>
                <w:b/>
                <w:sz w:val="24"/>
                <w:szCs w:val="24"/>
              </w:rPr>
            </w:pPr>
            <w:r>
              <w:rPr>
                <w:b/>
                <w:sz w:val="24"/>
                <w:szCs w:val="24"/>
              </w:rPr>
              <w:t>Решений изменено</w:t>
            </w:r>
          </w:p>
        </w:tc>
        <w:tc>
          <w:tcPr>
            <w:tcW w:w="884" w:type="dxa"/>
            <w:tcBorders>
              <w:top w:val="single" w:sz="4" w:space="0" w:color="auto"/>
              <w:bottom w:val="double" w:sz="4" w:space="0" w:color="auto"/>
            </w:tcBorders>
            <w:vAlign w:val="center"/>
          </w:tcPr>
          <w:p w:rsidR="006A7B80" w:rsidRDefault="006A7B80" w:rsidP="008619A6">
            <w:pPr>
              <w:contextualSpacing/>
              <w:jc w:val="center"/>
              <w:rPr>
                <w:b/>
                <w:i/>
              </w:rPr>
            </w:pPr>
            <w:r>
              <w:rPr>
                <w:b/>
                <w:i/>
              </w:rPr>
              <w:t>467</w:t>
            </w:r>
          </w:p>
        </w:tc>
        <w:tc>
          <w:tcPr>
            <w:tcW w:w="840" w:type="dxa"/>
            <w:tcBorders>
              <w:top w:val="single" w:sz="4" w:space="0" w:color="auto"/>
              <w:bottom w:val="double" w:sz="4" w:space="0" w:color="auto"/>
            </w:tcBorders>
            <w:vAlign w:val="center"/>
          </w:tcPr>
          <w:p w:rsidR="006A7B80" w:rsidRDefault="006A7B80" w:rsidP="008619A6">
            <w:pPr>
              <w:contextualSpacing/>
              <w:jc w:val="center"/>
              <w:rPr>
                <w:b/>
                <w:i/>
              </w:rPr>
            </w:pPr>
            <w:r>
              <w:rPr>
                <w:b/>
                <w:i/>
              </w:rPr>
              <w:t>438</w:t>
            </w:r>
          </w:p>
        </w:tc>
        <w:tc>
          <w:tcPr>
            <w:tcW w:w="916" w:type="dxa"/>
            <w:tcBorders>
              <w:top w:val="single" w:sz="4" w:space="0" w:color="auto"/>
              <w:bottom w:val="double" w:sz="4" w:space="0" w:color="auto"/>
            </w:tcBorders>
            <w:vAlign w:val="center"/>
          </w:tcPr>
          <w:p w:rsidR="006A7B80" w:rsidRDefault="006A7B80" w:rsidP="008619A6">
            <w:pPr>
              <w:contextualSpacing/>
              <w:jc w:val="center"/>
              <w:rPr>
                <w:b/>
                <w:i/>
              </w:rPr>
            </w:pPr>
            <w:r>
              <w:rPr>
                <w:b/>
                <w:i/>
              </w:rPr>
              <w:t>389</w:t>
            </w:r>
          </w:p>
        </w:tc>
        <w:tc>
          <w:tcPr>
            <w:tcW w:w="1080" w:type="dxa"/>
            <w:tcBorders>
              <w:top w:val="single" w:sz="4" w:space="0" w:color="auto"/>
              <w:bottom w:val="double" w:sz="4" w:space="0" w:color="auto"/>
            </w:tcBorders>
            <w:vAlign w:val="center"/>
          </w:tcPr>
          <w:p w:rsidR="006A7B80" w:rsidRDefault="006A7B80" w:rsidP="008619A6">
            <w:pPr>
              <w:contextualSpacing/>
              <w:jc w:val="center"/>
              <w:rPr>
                <w:b/>
                <w:i/>
              </w:rPr>
            </w:pPr>
            <w:r>
              <w:rPr>
                <w:b/>
                <w:i/>
              </w:rPr>
              <w:t>524</w:t>
            </w:r>
          </w:p>
        </w:tc>
        <w:tc>
          <w:tcPr>
            <w:tcW w:w="1359" w:type="dxa"/>
            <w:tcBorders>
              <w:top w:val="single" w:sz="4" w:space="0" w:color="auto"/>
              <w:bottom w:val="double" w:sz="4" w:space="0" w:color="auto"/>
              <w:right w:val="double" w:sz="4" w:space="0" w:color="auto"/>
            </w:tcBorders>
            <w:vAlign w:val="center"/>
          </w:tcPr>
          <w:p w:rsidR="006A7B80" w:rsidRDefault="006A7B80" w:rsidP="008619A6">
            <w:pPr>
              <w:contextualSpacing/>
              <w:jc w:val="center"/>
              <w:rPr>
                <w:b/>
                <w:i/>
              </w:rPr>
            </w:pPr>
            <w:r>
              <w:rPr>
                <w:b/>
                <w:i/>
              </w:rPr>
              <w:t>427</w:t>
            </w:r>
          </w:p>
        </w:tc>
      </w:tr>
    </w:tbl>
    <w:p w:rsidR="006A7B80" w:rsidRDefault="006A7B80" w:rsidP="008619A6">
      <w:pPr>
        <w:ind w:firstLine="900"/>
        <w:contextualSpacing/>
        <w:jc w:val="both"/>
        <w:rPr>
          <w:sz w:val="28"/>
          <w:szCs w:val="28"/>
        </w:rPr>
      </w:pPr>
      <w:r>
        <w:rPr>
          <w:sz w:val="28"/>
          <w:szCs w:val="28"/>
        </w:rPr>
        <w:t>Согласно проведенному анализу причин отмен и изменений судебных постановлений в апелляционном порядке в 2017 году основаниями для отмены явились:</w:t>
      </w:r>
    </w:p>
    <w:p w:rsidR="006A7B80" w:rsidRDefault="006A7B80" w:rsidP="00F46C7B">
      <w:pPr>
        <w:numPr>
          <w:ilvl w:val="0"/>
          <w:numId w:val="2"/>
        </w:numPr>
        <w:ind w:left="1134" w:hanging="283"/>
        <w:contextualSpacing/>
        <w:jc w:val="both"/>
        <w:rPr>
          <w:sz w:val="28"/>
          <w:szCs w:val="28"/>
        </w:rPr>
      </w:pPr>
      <w:r>
        <w:rPr>
          <w:sz w:val="28"/>
          <w:szCs w:val="28"/>
        </w:rPr>
        <w:t xml:space="preserve"> неправильное применение норм материального и процессуального права;</w:t>
      </w:r>
    </w:p>
    <w:p w:rsidR="006A7B80" w:rsidRDefault="006A7B80" w:rsidP="00F46C7B">
      <w:pPr>
        <w:numPr>
          <w:ilvl w:val="0"/>
          <w:numId w:val="2"/>
        </w:numPr>
        <w:ind w:left="1134" w:hanging="283"/>
        <w:contextualSpacing/>
        <w:jc w:val="both"/>
        <w:rPr>
          <w:sz w:val="28"/>
          <w:szCs w:val="28"/>
        </w:rPr>
      </w:pPr>
      <w:r>
        <w:rPr>
          <w:sz w:val="28"/>
          <w:szCs w:val="28"/>
        </w:rPr>
        <w:t xml:space="preserve"> неправильное определение юридически значимых обстоятельств;</w:t>
      </w:r>
    </w:p>
    <w:p w:rsidR="006A7B80" w:rsidRDefault="006A7B80" w:rsidP="00F46C7B">
      <w:pPr>
        <w:numPr>
          <w:ilvl w:val="0"/>
          <w:numId w:val="2"/>
        </w:numPr>
        <w:ind w:left="1134" w:hanging="283"/>
        <w:contextualSpacing/>
        <w:jc w:val="both"/>
        <w:rPr>
          <w:sz w:val="28"/>
          <w:szCs w:val="28"/>
        </w:rPr>
      </w:pPr>
      <w:r>
        <w:rPr>
          <w:sz w:val="28"/>
          <w:szCs w:val="28"/>
        </w:rPr>
        <w:t xml:space="preserve"> несоответствие выводов суда обстоятельствам дела;</w:t>
      </w:r>
    </w:p>
    <w:p w:rsidR="006A7B80" w:rsidRDefault="006A7B80" w:rsidP="00F46C7B">
      <w:pPr>
        <w:numPr>
          <w:ilvl w:val="0"/>
          <w:numId w:val="2"/>
        </w:numPr>
        <w:ind w:left="1134" w:hanging="283"/>
        <w:contextualSpacing/>
        <w:jc w:val="both"/>
        <w:rPr>
          <w:sz w:val="28"/>
          <w:szCs w:val="28"/>
        </w:rPr>
      </w:pPr>
      <w:r>
        <w:rPr>
          <w:sz w:val="28"/>
          <w:szCs w:val="28"/>
        </w:rPr>
        <w:t xml:space="preserve"> недосказанность.</w:t>
      </w:r>
    </w:p>
    <w:p w:rsidR="006A7B80" w:rsidRDefault="006A7B80" w:rsidP="008619A6">
      <w:pPr>
        <w:ind w:firstLine="900"/>
        <w:contextualSpacing/>
        <w:jc w:val="both"/>
        <w:rPr>
          <w:sz w:val="28"/>
          <w:szCs w:val="28"/>
        </w:rPr>
      </w:pPr>
      <w:r w:rsidRPr="00E17FAB">
        <w:rPr>
          <w:sz w:val="28"/>
          <w:szCs w:val="28"/>
        </w:rPr>
        <w:t>Анализ статистических данных свидетельствует о том, что большинство ошибок допускается судьями районных (городских) судов по трудовым, з</w:t>
      </w:r>
      <w:r w:rsidRPr="00E17FAB">
        <w:rPr>
          <w:sz w:val="28"/>
          <w:szCs w:val="28"/>
        </w:rPr>
        <w:t>е</w:t>
      </w:r>
      <w:r w:rsidRPr="00E17FAB">
        <w:rPr>
          <w:sz w:val="28"/>
          <w:szCs w:val="28"/>
        </w:rPr>
        <w:t>мельным, семейным и страховым спорам, по спорам из нарушений пенсионн</w:t>
      </w:r>
      <w:r w:rsidRPr="00E17FAB">
        <w:rPr>
          <w:sz w:val="28"/>
          <w:szCs w:val="28"/>
        </w:rPr>
        <w:t>о</w:t>
      </w:r>
      <w:r w:rsidRPr="00E17FAB">
        <w:rPr>
          <w:sz w:val="28"/>
          <w:szCs w:val="28"/>
        </w:rPr>
        <w:t>го законодательства, о защите прав потребителей, по искам о взыскании сумм по договору займа и кредитным договорам, по спорам о наследовании имущ</w:t>
      </w:r>
      <w:r w:rsidRPr="00E17FAB">
        <w:rPr>
          <w:sz w:val="28"/>
          <w:szCs w:val="28"/>
        </w:rPr>
        <w:t>е</w:t>
      </w:r>
      <w:r w:rsidRPr="00E17FAB">
        <w:rPr>
          <w:sz w:val="28"/>
          <w:szCs w:val="28"/>
        </w:rPr>
        <w:t>ства.</w:t>
      </w:r>
    </w:p>
    <w:p w:rsidR="006A7B80" w:rsidRPr="00935907" w:rsidRDefault="006A7B80" w:rsidP="008619A6">
      <w:pPr>
        <w:ind w:firstLine="900"/>
        <w:contextualSpacing/>
        <w:jc w:val="center"/>
        <w:rPr>
          <w:sz w:val="24"/>
          <w:szCs w:val="24"/>
        </w:rPr>
      </w:pPr>
      <w:r w:rsidRPr="005F18CB">
        <w:rPr>
          <w:sz w:val="24"/>
          <w:szCs w:val="24"/>
        </w:rPr>
        <w:t xml:space="preserve">                                                                          </w:t>
      </w:r>
      <w:r>
        <w:rPr>
          <w:sz w:val="24"/>
          <w:szCs w:val="24"/>
        </w:rPr>
        <w:t xml:space="preserve">                               </w:t>
      </w:r>
      <w:r w:rsidRPr="005F18CB">
        <w:rPr>
          <w:sz w:val="24"/>
          <w:szCs w:val="24"/>
        </w:rPr>
        <w:t xml:space="preserve">      </w:t>
      </w:r>
      <w:r>
        <w:rPr>
          <w:sz w:val="24"/>
          <w:szCs w:val="24"/>
        </w:rPr>
        <w:t xml:space="preserve">     </w:t>
      </w:r>
      <w:r w:rsidRPr="005F18CB">
        <w:rPr>
          <w:sz w:val="24"/>
          <w:szCs w:val="24"/>
        </w:rPr>
        <w:t xml:space="preserve">   </w:t>
      </w:r>
      <w:r>
        <w:rPr>
          <w:sz w:val="24"/>
          <w:szCs w:val="24"/>
        </w:rPr>
        <w:t>Диаграмма 9</w:t>
      </w:r>
    </w:p>
    <w:p w:rsidR="006A7B80" w:rsidRPr="00C60718" w:rsidRDefault="006A7B80" w:rsidP="008619A6">
      <w:pPr>
        <w:ind w:firstLine="900"/>
        <w:contextualSpacing/>
        <w:jc w:val="both"/>
        <w:rPr>
          <w:sz w:val="28"/>
          <w:szCs w:val="28"/>
        </w:rPr>
      </w:pPr>
      <w:r>
        <w:rPr>
          <w:noProof/>
        </w:rPr>
        <w:drawing>
          <wp:inline distT="0" distB="0" distL="0" distR="0" wp14:anchorId="65F2A73E" wp14:editId="2906EF22">
            <wp:extent cx="4751705" cy="2987040"/>
            <wp:effectExtent l="0" t="0" r="10795" b="2286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3B12" w:rsidRDefault="00153B12" w:rsidP="008619A6">
      <w:pPr>
        <w:ind w:firstLine="900"/>
        <w:contextualSpacing/>
        <w:jc w:val="both"/>
        <w:rPr>
          <w:sz w:val="28"/>
          <w:szCs w:val="28"/>
          <w:u w:val="single"/>
        </w:rPr>
      </w:pPr>
    </w:p>
    <w:p w:rsidR="006A7B80" w:rsidRDefault="006A7B80" w:rsidP="008619A6">
      <w:pPr>
        <w:ind w:firstLine="900"/>
        <w:contextualSpacing/>
        <w:jc w:val="both"/>
        <w:rPr>
          <w:sz w:val="28"/>
          <w:szCs w:val="28"/>
        </w:rPr>
      </w:pPr>
      <w:r w:rsidRPr="00052A0D">
        <w:rPr>
          <w:sz w:val="28"/>
          <w:szCs w:val="28"/>
          <w:u w:val="single"/>
        </w:rPr>
        <w:lastRenderedPageBreak/>
        <w:t>Кассационная инстанция</w:t>
      </w:r>
      <w:r w:rsidR="00153B12">
        <w:rPr>
          <w:sz w:val="28"/>
          <w:szCs w:val="28"/>
          <w:u w:val="single"/>
        </w:rPr>
        <w:t xml:space="preserve">. </w:t>
      </w:r>
      <w:r w:rsidRPr="00935907">
        <w:rPr>
          <w:sz w:val="28"/>
          <w:szCs w:val="28"/>
        </w:rPr>
        <w:t>В 2017 году в суд кассационной и</w:t>
      </w:r>
      <w:r>
        <w:rPr>
          <w:sz w:val="28"/>
          <w:szCs w:val="28"/>
        </w:rPr>
        <w:t>нстанции поступило 5622 жалобы, что в с</w:t>
      </w:r>
      <w:r w:rsidRPr="00935907">
        <w:rPr>
          <w:sz w:val="28"/>
          <w:szCs w:val="28"/>
        </w:rPr>
        <w:t>равн</w:t>
      </w:r>
      <w:r>
        <w:rPr>
          <w:sz w:val="28"/>
          <w:szCs w:val="28"/>
        </w:rPr>
        <w:t>ении</w:t>
      </w:r>
      <w:r w:rsidRPr="00935907">
        <w:rPr>
          <w:sz w:val="28"/>
          <w:szCs w:val="28"/>
        </w:rPr>
        <w:t xml:space="preserve"> с 2016 годом</w:t>
      </w:r>
      <w:r>
        <w:rPr>
          <w:sz w:val="28"/>
          <w:szCs w:val="28"/>
        </w:rPr>
        <w:t xml:space="preserve"> больше</w:t>
      </w:r>
      <w:r w:rsidRPr="00935907">
        <w:rPr>
          <w:sz w:val="28"/>
          <w:szCs w:val="28"/>
        </w:rPr>
        <w:t xml:space="preserve"> на 27</w:t>
      </w:r>
      <w:r w:rsidR="00EC3C33">
        <w:rPr>
          <w:sz w:val="28"/>
          <w:szCs w:val="28"/>
        </w:rPr>
        <w:t>,2</w:t>
      </w:r>
      <w:r w:rsidRPr="00935907">
        <w:rPr>
          <w:sz w:val="28"/>
          <w:szCs w:val="28"/>
        </w:rPr>
        <w:t xml:space="preserve"> %.</w:t>
      </w:r>
    </w:p>
    <w:p w:rsidR="006A7B80" w:rsidRPr="00A80A4B" w:rsidRDefault="006A7B80" w:rsidP="008619A6">
      <w:pPr>
        <w:ind w:firstLine="900"/>
        <w:contextualSpacing/>
        <w:jc w:val="center"/>
        <w:rPr>
          <w:sz w:val="24"/>
          <w:szCs w:val="24"/>
        </w:rPr>
      </w:pPr>
      <w:r w:rsidRPr="005F18CB">
        <w:rPr>
          <w:sz w:val="24"/>
          <w:szCs w:val="24"/>
        </w:rPr>
        <w:t xml:space="preserve">                                                                             </w:t>
      </w:r>
      <w:r>
        <w:rPr>
          <w:sz w:val="24"/>
          <w:szCs w:val="24"/>
        </w:rPr>
        <w:t xml:space="preserve">                                 </w:t>
      </w:r>
      <w:r w:rsidRPr="005F18CB">
        <w:rPr>
          <w:sz w:val="24"/>
          <w:szCs w:val="24"/>
        </w:rPr>
        <w:t xml:space="preserve">  </w:t>
      </w:r>
      <w:r>
        <w:rPr>
          <w:sz w:val="24"/>
          <w:szCs w:val="24"/>
        </w:rPr>
        <w:t>Диаграмма 10</w:t>
      </w:r>
    </w:p>
    <w:p w:rsidR="006A7B80" w:rsidRPr="00052A0D" w:rsidRDefault="006A7B80" w:rsidP="008619A6">
      <w:pPr>
        <w:ind w:firstLine="900"/>
        <w:contextualSpacing/>
        <w:jc w:val="both"/>
        <w:rPr>
          <w:sz w:val="28"/>
          <w:szCs w:val="28"/>
        </w:rPr>
      </w:pPr>
      <w:r>
        <w:rPr>
          <w:noProof/>
        </w:rPr>
        <w:drawing>
          <wp:inline distT="0" distB="0" distL="0" distR="0" wp14:anchorId="0A10BDA0" wp14:editId="3F476789">
            <wp:extent cx="4843848" cy="2479590"/>
            <wp:effectExtent l="0" t="0" r="13970" b="1651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7B80" w:rsidRDefault="006A7B80" w:rsidP="008619A6">
      <w:pPr>
        <w:ind w:firstLine="900"/>
        <w:contextualSpacing/>
        <w:jc w:val="both"/>
        <w:rPr>
          <w:sz w:val="28"/>
          <w:szCs w:val="28"/>
        </w:rPr>
      </w:pPr>
      <w:r w:rsidRPr="000A4C7B">
        <w:rPr>
          <w:sz w:val="28"/>
          <w:szCs w:val="28"/>
        </w:rPr>
        <w:t xml:space="preserve">Из общего количества поступивших дел в 2017 году возвращено без рассмотрения по существу 2076 жалоб, </w:t>
      </w:r>
      <w:r w:rsidR="005F3B88">
        <w:rPr>
          <w:sz w:val="28"/>
          <w:szCs w:val="28"/>
        </w:rPr>
        <w:t xml:space="preserve">по </w:t>
      </w:r>
      <w:r w:rsidRPr="000A4C7B">
        <w:rPr>
          <w:sz w:val="28"/>
          <w:szCs w:val="28"/>
        </w:rPr>
        <w:t>3416</w:t>
      </w:r>
      <w:r w:rsidR="005F3B88">
        <w:rPr>
          <w:sz w:val="28"/>
          <w:szCs w:val="28"/>
        </w:rPr>
        <w:t xml:space="preserve"> жалобам</w:t>
      </w:r>
      <w:r w:rsidRPr="000A4C7B">
        <w:rPr>
          <w:sz w:val="28"/>
          <w:szCs w:val="28"/>
        </w:rPr>
        <w:t xml:space="preserve"> – отказано в передаче в суд касс</w:t>
      </w:r>
      <w:r w:rsidRPr="000A4C7B">
        <w:rPr>
          <w:sz w:val="28"/>
          <w:szCs w:val="28"/>
        </w:rPr>
        <w:t>а</w:t>
      </w:r>
      <w:r w:rsidRPr="000A4C7B">
        <w:rPr>
          <w:sz w:val="28"/>
          <w:szCs w:val="28"/>
        </w:rPr>
        <w:t xml:space="preserve">ционной инстанции, </w:t>
      </w:r>
      <w:r w:rsidR="00617AFA">
        <w:rPr>
          <w:sz w:val="28"/>
          <w:szCs w:val="28"/>
        </w:rPr>
        <w:t>из них</w:t>
      </w:r>
      <w:r w:rsidR="006E6941">
        <w:rPr>
          <w:sz w:val="28"/>
          <w:szCs w:val="28"/>
        </w:rPr>
        <w:t xml:space="preserve"> по 672</w:t>
      </w:r>
      <w:r w:rsidR="005F3B88">
        <w:rPr>
          <w:sz w:val="28"/>
          <w:szCs w:val="28"/>
        </w:rPr>
        <w:t xml:space="preserve"> жалобам – </w:t>
      </w:r>
      <w:r w:rsidRPr="000A4C7B">
        <w:rPr>
          <w:sz w:val="28"/>
          <w:szCs w:val="28"/>
        </w:rPr>
        <w:t>отказано</w:t>
      </w:r>
      <w:r w:rsidR="00617AFA">
        <w:rPr>
          <w:sz w:val="28"/>
          <w:szCs w:val="28"/>
        </w:rPr>
        <w:t xml:space="preserve"> в связи с</w:t>
      </w:r>
      <w:r w:rsidRPr="000A4C7B">
        <w:rPr>
          <w:sz w:val="28"/>
          <w:szCs w:val="28"/>
        </w:rPr>
        <w:t xml:space="preserve"> истребованием дела</w:t>
      </w:r>
      <w:r w:rsidR="00617AFA">
        <w:rPr>
          <w:sz w:val="28"/>
          <w:szCs w:val="28"/>
        </w:rPr>
        <w:t>.</w:t>
      </w:r>
      <w:r w:rsidRPr="000A4C7B">
        <w:rPr>
          <w:sz w:val="28"/>
          <w:szCs w:val="28"/>
        </w:rPr>
        <w:t xml:space="preserve"> </w:t>
      </w:r>
    </w:p>
    <w:p w:rsidR="006A7B80" w:rsidRDefault="006A7B80" w:rsidP="008619A6">
      <w:pPr>
        <w:ind w:firstLine="900"/>
        <w:contextualSpacing/>
        <w:jc w:val="both"/>
        <w:rPr>
          <w:sz w:val="28"/>
          <w:szCs w:val="28"/>
        </w:rPr>
      </w:pPr>
      <w:r>
        <w:rPr>
          <w:sz w:val="28"/>
          <w:szCs w:val="28"/>
        </w:rPr>
        <w:t>Количество кассационных жалоб, переданных на рассмотрение в суде</w:t>
      </w:r>
      <w:r>
        <w:rPr>
          <w:sz w:val="28"/>
          <w:szCs w:val="28"/>
        </w:rPr>
        <w:t>б</w:t>
      </w:r>
      <w:r>
        <w:rPr>
          <w:sz w:val="28"/>
          <w:szCs w:val="28"/>
        </w:rPr>
        <w:t xml:space="preserve">ном заседании </w:t>
      </w:r>
      <w:r w:rsidR="00094900">
        <w:rPr>
          <w:sz w:val="28"/>
          <w:szCs w:val="28"/>
        </w:rPr>
        <w:t>п</w:t>
      </w:r>
      <w:r>
        <w:rPr>
          <w:sz w:val="28"/>
          <w:szCs w:val="28"/>
        </w:rPr>
        <w:t>резидиума Верховного Суда Республики Татарстан в 2017 г</w:t>
      </w:r>
      <w:r>
        <w:rPr>
          <w:sz w:val="28"/>
          <w:szCs w:val="28"/>
        </w:rPr>
        <w:t>о</w:t>
      </w:r>
      <w:r>
        <w:rPr>
          <w:sz w:val="28"/>
          <w:szCs w:val="28"/>
        </w:rPr>
        <w:t>ду, равно 144. В 2016 году этот показатель был равен 107, что на 2</w:t>
      </w:r>
      <w:r w:rsidR="00617AFA">
        <w:rPr>
          <w:sz w:val="28"/>
          <w:szCs w:val="28"/>
        </w:rPr>
        <w:t>5,7</w:t>
      </w:r>
      <w:r>
        <w:rPr>
          <w:sz w:val="28"/>
          <w:szCs w:val="28"/>
        </w:rPr>
        <w:t>% ниже п</w:t>
      </w:r>
      <w:r>
        <w:rPr>
          <w:sz w:val="28"/>
          <w:szCs w:val="28"/>
        </w:rPr>
        <w:t>о</w:t>
      </w:r>
      <w:r>
        <w:rPr>
          <w:sz w:val="28"/>
          <w:szCs w:val="28"/>
        </w:rPr>
        <w:t>казателя 2017 года.</w:t>
      </w:r>
    </w:p>
    <w:p w:rsidR="006A7B80" w:rsidRPr="00BF7B76" w:rsidRDefault="006A7B80" w:rsidP="008619A6">
      <w:pPr>
        <w:ind w:firstLine="900"/>
        <w:contextualSpacing/>
        <w:jc w:val="center"/>
        <w:rPr>
          <w:sz w:val="24"/>
          <w:szCs w:val="24"/>
        </w:rPr>
      </w:pPr>
      <w:r w:rsidRPr="005F18CB">
        <w:rPr>
          <w:sz w:val="24"/>
          <w:szCs w:val="24"/>
        </w:rPr>
        <w:t xml:space="preserve">                                                                     </w:t>
      </w:r>
      <w:r>
        <w:rPr>
          <w:sz w:val="24"/>
          <w:szCs w:val="24"/>
        </w:rPr>
        <w:t xml:space="preserve">                               </w:t>
      </w:r>
      <w:r w:rsidRPr="005F18CB">
        <w:rPr>
          <w:sz w:val="24"/>
          <w:szCs w:val="24"/>
        </w:rPr>
        <w:t xml:space="preserve">      </w:t>
      </w:r>
      <w:r>
        <w:rPr>
          <w:sz w:val="24"/>
          <w:szCs w:val="24"/>
        </w:rPr>
        <w:t xml:space="preserve">   </w:t>
      </w:r>
      <w:r w:rsidRPr="005F18CB">
        <w:rPr>
          <w:sz w:val="24"/>
          <w:szCs w:val="24"/>
        </w:rPr>
        <w:t xml:space="preserve">   </w:t>
      </w:r>
      <w:r>
        <w:rPr>
          <w:sz w:val="24"/>
          <w:szCs w:val="24"/>
        </w:rPr>
        <w:t>Диаграмма 11</w:t>
      </w:r>
    </w:p>
    <w:p w:rsidR="006A7B80" w:rsidRDefault="006A7B80" w:rsidP="008619A6">
      <w:pPr>
        <w:ind w:firstLine="900"/>
        <w:contextualSpacing/>
        <w:jc w:val="both"/>
        <w:rPr>
          <w:sz w:val="28"/>
          <w:szCs w:val="28"/>
        </w:rPr>
      </w:pPr>
      <w:r>
        <w:rPr>
          <w:noProof/>
        </w:rPr>
        <w:drawing>
          <wp:inline distT="0" distB="0" distL="0" distR="0" wp14:anchorId="315BC664" wp14:editId="28D6B914">
            <wp:extent cx="4843848" cy="2207740"/>
            <wp:effectExtent l="0" t="0" r="13970" b="2159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A7B80" w:rsidRPr="005B02EA" w:rsidRDefault="006A7B80" w:rsidP="008619A6">
      <w:pPr>
        <w:ind w:firstLine="900"/>
        <w:contextualSpacing/>
        <w:jc w:val="both"/>
        <w:rPr>
          <w:sz w:val="28"/>
          <w:szCs w:val="28"/>
        </w:rPr>
      </w:pPr>
      <w:r w:rsidRPr="005B02EA">
        <w:rPr>
          <w:sz w:val="28"/>
          <w:szCs w:val="28"/>
        </w:rPr>
        <w:t>Президиумом рассмотрено 141 гражданское дело (в 2016 году – 105, в 2015 году – 129, в 2014 году – 114, в 2013 году - 116), из них удовлетворено 133 кассационны</w:t>
      </w:r>
      <w:r>
        <w:rPr>
          <w:sz w:val="28"/>
          <w:szCs w:val="28"/>
        </w:rPr>
        <w:t>е</w:t>
      </w:r>
      <w:r w:rsidRPr="005B02EA">
        <w:rPr>
          <w:sz w:val="28"/>
          <w:szCs w:val="28"/>
        </w:rPr>
        <w:t xml:space="preserve"> жалоб</w:t>
      </w:r>
      <w:r>
        <w:rPr>
          <w:sz w:val="28"/>
          <w:szCs w:val="28"/>
        </w:rPr>
        <w:t>ы</w:t>
      </w:r>
      <w:r w:rsidRPr="005B02EA">
        <w:rPr>
          <w:sz w:val="28"/>
          <w:szCs w:val="28"/>
        </w:rPr>
        <w:t xml:space="preserve">, </w:t>
      </w:r>
      <w:r w:rsidR="005958F4">
        <w:rPr>
          <w:sz w:val="28"/>
          <w:szCs w:val="28"/>
        </w:rPr>
        <w:t>или</w:t>
      </w:r>
      <w:r w:rsidRPr="005B02EA">
        <w:rPr>
          <w:sz w:val="28"/>
          <w:szCs w:val="28"/>
        </w:rPr>
        <w:t xml:space="preserve"> 94,3% (в 2016 году – 95,2%, в 2015 году – 92,4%). </w:t>
      </w:r>
    </w:p>
    <w:p w:rsidR="006A7B80" w:rsidRDefault="006A7B80" w:rsidP="008619A6">
      <w:pPr>
        <w:ind w:firstLine="900"/>
        <w:contextualSpacing/>
        <w:jc w:val="both"/>
        <w:rPr>
          <w:sz w:val="28"/>
          <w:szCs w:val="28"/>
        </w:rPr>
      </w:pPr>
      <w:r w:rsidRPr="005B02EA">
        <w:rPr>
          <w:sz w:val="28"/>
          <w:szCs w:val="28"/>
        </w:rPr>
        <w:t>В 2017 году 39 судьям-докладчикам Верховного Суда Республики Т</w:t>
      </w:r>
      <w:r w:rsidRPr="005B02EA">
        <w:rPr>
          <w:sz w:val="28"/>
          <w:szCs w:val="28"/>
        </w:rPr>
        <w:t>а</w:t>
      </w:r>
      <w:r w:rsidRPr="005B02EA">
        <w:rPr>
          <w:sz w:val="28"/>
          <w:szCs w:val="28"/>
        </w:rPr>
        <w:t xml:space="preserve">тарстан президиумом отменено 94 </w:t>
      </w:r>
      <w:proofErr w:type="gramStart"/>
      <w:r w:rsidRPr="005B02EA">
        <w:rPr>
          <w:sz w:val="28"/>
          <w:szCs w:val="28"/>
        </w:rPr>
        <w:t>апелляционных</w:t>
      </w:r>
      <w:proofErr w:type="gramEnd"/>
      <w:r w:rsidRPr="005B02EA">
        <w:rPr>
          <w:sz w:val="28"/>
          <w:szCs w:val="28"/>
        </w:rPr>
        <w:t xml:space="preserve"> определения (в 2016 году 37 судьям-докладчикам отменено 73 апелляционных определения, в 2015 году 34 судьям</w:t>
      </w:r>
      <w:r>
        <w:rPr>
          <w:sz w:val="28"/>
          <w:szCs w:val="28"/>
        </w:rPr>
        <w:t>-</w:t>
      </w:r>
      <w:r w:rsidRPr="005B02EA">
        <w:rPr>
          <w:sz w:val="28"/>
          <w:szCs w:val="28"/>
        </w:rPr>
        <w:t>докладчикам отменено 81 апелляционное определение).</w:t>
      </w:r>
    </w:p>
    <w:p w:rsidR="00013FCB" w:rsidRDefault="005E1C6F" w:rsidP="008619A6">
      <w:pPr>
        <w:ind w:firstLine="900"/>
        <w:contextualSpacing/>
        <w:jc w:val="both"/>
        <w:rPr>
          <w:sz w:val="28"/>
          <w:szCs w:val="28"/>
        </w:rPr>
      </w:pPr>
      <w:r>
        <w:rPr>
          <w:sz w:val="28"/>
          <w:szCs w:val="28"/>
        </w:rPr>
        <w:t xml:space="preserve">Анализ </w:t>
      </w:r>
      <w:r w:rsidRPr="005B02EA">
        <w:rPr>
          <w:sz w:val="28"/>
          <w:szCs w:val="28"/>
        </w:rPr>
        <w:t>кассационной практики показывает, что в 2017 году</w:t>
      </w:r>
      <w:r>
        <w:rPr>
          <w:sz w:val="28"/>
          <w:szCs w:val="28"/>
        </w:rPr>
        <w:t xml:space="preserve"> президи</w:t>
      </w:r>
      <w:r w:rsidR="00013FCB">
        <w:rPr>
          <w:sz w:val="28"/>
          <w:szCs w:val="28"/>
        </w:rPr>
        <w:t xml:space="preserve">умом отменялись судебные акты, вынесенные судьями </w:t>
      </w:r>
      <w:proofErr w:type="gramStart"/>
      <w:r w:rsidR="00013FCB">
        <w:rPr>
          <w:sz w:val="28"/>
          <w:szCs w:val="28"/>
        </w:rPr>
        <w:t>районных</w:t>
      </w:r>
      <w:proofErr w:type="gramEnd"/>
      <w:r w:rsidR="00013FCB">
        <w:rPr>
          <w:sz w:val="28"/>
          <w:szCs w:val="28"/>
        </w:rPr>
        <w:t xml:space="preserve"> </w:t>
      </w:r>
    </w:p>
    <w:p w:rsidR="006A7B80" w:rsidRPr="005B02EA" w:rsidRDefault="006A7B80" w:rsidP="008619A6">
      <w:pPr>
        <w:contextualSpacing/>
        <w:jc w:val="both"/>
        <w:rPr>
          <w:sz w:val="28"/>
          <w:szCs w:val="28"/>
        </w:rPr>
      </w:pPr>
      <w:r w:rsidRPr="005B02EA">
        <w:rPr>
          <w:sz w:val="28"/>
          <w:szCs w:val="28"/>
        </w:rPr>
        <w:lastRenderedPageBreak/>
        <w:t>(городских) судов и мировыми судьями 22 районов (городов) Республики Татарстан (в 2016 году – 16 районов, в 2015 году – 26 районов).</w:t>
      </w:r>
    </w:p>
    <w:p w:rsidR="006A7B80" w:rsidRPr="005B02EA" w:rsidRDefault="006A7B80" w:rsidP="008619A6">
      <w:pPr>
        <w:ind w:firstLine="900"/>
        <w:contextualSpacing/>
        <w:jc w:val="both"/>
        <w:rPr>
          <w:sz w:val="28"/>
          <w:szCs w:val="28"/>
        </w:rPr>
      </w:pPr>
      <w:r w:rsidRPr="005B02EA">
        <w:rPr>
          <w:sz w:val="28"/>
          <w:szCs w:val="28"/>
        </w:rPr>
        <w:t xml:space="preserve">Наибольшее количество судебных актов районных (городских) судов и мировых судей в кассационном порядке отменено в </w:t>
      </w:r>
      <w:proofErr w:type="spellStart"/>
      <w:r w:rsidRPr="005B02EA">
        <w:rPr>
          <w:sz w:val="28"/>
          <w:szCs w:val="28"/>
        </w:rPr>
        <w:t>Вахитовском</w:t>
      </w:r>
      <w:proofErr w:type="spellEnd"/>
      <w:r w:rsidRPr="005B02EA">
        <w:rPr>
          <w:sz w:val="28"/>
          <w:szCs w:val="28"/>
        </w:rPr>
        <w:t xml:space="preserve"> районе </w:t>
      </w:r>
      <w:r w:rsidR="00A334CF">
        <w:rPr>
          <w:sz w:val="28"/>
          <w:szCs w:val="28"/>
        </w:rPr>
        <w:t xml:space="preserve">города Казани </w:t>
      </w:r>
      <w:r w:rsidRPr="005B02EA">
        <w:rPr>
          <w:sz w:val="28"/>
          <w:szCs w:val="28"/>
        </w:rPr>
        <w:t xml:space="preserve">– 17, </w:t>
      </w:r>
      <w:proofErr w:type="gramStart"/>
      <w:r w:rsidRPr="005B02EA">
        <w:rPr>
          <w:sz w:val="28"/>
          <w:szCs w:val="28"/>
        </w:rPr>
        <w:t>Ново-Савиновском</w:t>
      </w:r>
      <w:proofErr w:type="gramEnd"/>
      <w:r w:rsidRPr="005B02EA">
        <w:rPr>
          <w:sz w:val="28"/>
          <w:szCs w:val="28"/>
        </w:rPr>
        <w:t xml:space="preserve"> районе </w:t>
      </w:r>
      <w:r w:rsidR="00A334CF">
        <w:rPr>
          <w:sz w:val="28"/>
          <w:szCs w:val="28"/>
        </w:rPr>
        <w:t xml:space="preserve">города Казани </w:t>
      </w:r>
      <w:r w:rsidRPr="005B02EA">
        <w:rPr>
          <w:sz w:val="28"/>
          <w:szCs w:val="28"/>
        </w:rPr>
        <w:t>– 14, Набережных Челнах – 12, Приволжском ра</w:t>
      </w:r>
      <w:r w:rsidRPr="005B02EA">
        <w:rPr>
          <w:sz w:val="28"/>
          <w:szCs w:val="28"/>
        </w:rPr>
        <w:t>й</w:t>
      </w:r>
      <w:r w:rsidRPr="005B02EA">
        <w:rPr>
          <w:sz w:val="28"/>
          <w:szCs w:val="28"/>
        </w:rPr>
        <w:t xml:space="preserve">оне </w:t>
      </w:r>
      <w:r w:rsidR="00A334CF">
        <w:rPr>
          <w:sz w:val="28"/>
          <w:szCs w:val="28"/>
        </w:rPr>
        <w:t xml:space="preserve">города Казани </w:t>
      </w:r>
      <w:r w:rsidRPr="005B02EA">
        <w:rPr>
          <w:sz w:val="28"/>
          <w:szCs w:val="28"/>
        </w:rPr>
        <w:t>– 9.</w:t>
      </w:r>
    </w:p>
    <w:p w:rsidR="006A7B80" w:rsidRPr="005B02EA" w:rsidRDefault="006A7B80" w:rsidP="008619A6">
      <w:pPr>
        <w:ind w:firstLine="900"/>
        <w:contextualSpacing/>
        <w:jc w:val="both"/>
        <w:rPr>
          <w:sz w:val="28"/>
          <w:szCs w:val="28"/>
        </w:rPr>
      </w:pPr>
      <w:r w:rsidRPr="005B02EA">
        <w:rPr>
          <w:sz w:val="28"/>
          <w:szCs w:val="28"/>
        </w:rPr>
        <w:t>Удовлетворенные президиумом кассационные жалобы на решения ра</w:t>
      </w:r>
      <w:r w:rsidRPr="005B02EA">
        <w:rPr>
          <w:sz w:val="28"/>
          <w:szCs w:val="28"/>
        </w:rPr>
        <w:t>й</w:t>
      </w:r>
      <w:r w:rsidRPr="005B02EA">
        <w:rPr>
          <w:sz w:val="28"/>
          <w:szCs w:val="28"/>
        </w:rPr>
        <w:t xml:space="preserve">онных судов и апелляционные определения судебной коллегии по гражданским делам, относятся </w:t>
      </w:r>
      <w:r w:rsidR="00AF16F1">
        <w:rPr>
          <w:sz w:val="28"/>
          <w:szCs w:val="28"/>
        </w:rPr>
        <w:t xml:space="preserve">в основном </w:t>
      </w:r>
      <w:r w:rsidRPr="005B02EA">
        <w:rPr>
          <w:sz w:val="28"/>
          <w:szCs w:val="28"/>
        </w:rPr>
        <w:t xml:space="preserve">к следующим категориям споров: </w:t>
      </w:r>
    </w:p>
    <w:p w:rsidR="006A7B80" w:rsidRPr="005B02EA" w:rsidRDefault="006A7B80" w:rsidP="00F46C7B">
      <w:pPr>
        <w:numPr>
          <w:ilvl w:val="0"/>
          <w:numId w:val="3"/>
        </w:numPr>
        <w:ind w:left="993" w:hanging="284"/>
        <w:contextualSpacing/>
        <w:jc w:val="both"/>
        <w:rPr>
          <w:sz w:val="28"/>
          <w:szCs w:val="28"/>
        </w:rPr>
      </w:pPr>
      <w:r>
        <w:rPr>
          <w:sz w:val="28"/>
          <w:szCs w:val="28"/>
        </w:rPr>
        <w:t xml:space="preserve"> </w:t>
      </w:r>
      <w:r w:rsidRPr="005B02EA">
        <w:rPr>
          <w:sz w:val="28"/>
          <w:szCs w:val="28"/>
        </w:rPr>
        <w:t xml:space="preserve">17 постановлений (12,8%) </w:t>
      </w:r>
      <w:r w:rsidR="00AF16F1">
        <w:rPr>
          <w:sz w:val="28"/>
          <w:szCs w:val="28"/>
        </w:rPr>
        <w:t xml:space="preserve"> – </w:t>
      </w:r>
      <w:r w:rsidR="00A334CF">
        <w:rPr>
          <w:sz w:val="28"/>
          <w:szCs w:val="28"/>
        </w:rPr>
        <w:t>по делам,</w:t>
      </w:r>
      <w:r w:rsidRPr="005B02EA">
        <w:rPr>
          <w:sz w:val="28"/>
          <w:szCs w:val="28"/>
        </w:rPr>
        <w:t xml:space="preserve"> связ</w:t>
      </w:r>
      <w:r w:rsidR="00AF16F1">
        <w:rPr>
          <w:sz w:val="28"/>
          <w:szCs w:val="28"/>
        </w:rPr>
        <w:t>анным</w:t>
      </w:r>
      <w:r w:rsidRPr="005B02EA">
        <w:rPr>
          <w:sz w:val="28"/>
          <w:szCs w:val="28"/>
        </w:rPr>
        <w:t xml:space="preserve"> </w:t>
      </w:r>
      <w:r w:rsidR="00AF16F1">
        <w:rPr>
          <w:sz w:val="28"/>
          <w:szCs w:val="28"/>
        </w:rPr>
        <w:t xml:space="preserve">с </w:t>
      </w:r>
      <w:r>
        <w:rPr>
          <w:sz w:val="28"/>
          <w:szCs w:val="28"/>
        </w:rPr>
        <w:t>разрешени</w:t>
      </w:r>
      <w:r w:rsidR="00AF16F1">
        <w:rPr>
          <w:sz w:val="28"/>
          <w:szCs w:val="28"/>
        </w:rPr>
        <w:t>ем</w:t>
      </w:r>
      <w:r>
        <w:rPr>
          <w:sz w:val="28"/>
          <w:szCs w:val="28"/>
        </w:rPr>
        <w:t xml:space="preserve"> страховых споров;</w:t>
      </w:r>
    </w:p>
    <w:p w:rsidR="006A7B80" w:rsidRPr="005B02EA" w:rsidRDefault="006A7B80" w:rsidP="00335DC8">
      <w:pPr>
        <w:numPr>
          <w:ilvl w:val="0"/>
          <w:numId w:val="4"/>
        </w:numPr>
        <w:ind w:left="993" w:hanging="284"/>
        <w:contextualSpacing/>
        <w:jc w:val="both"/>
        <w:rPr>
          <w:sz w:val="28"/>
          <w:szCs w:val="28"/>
        </w:rPr>
      </w:pPr>
      <w:r w:rsidRPr="005B02EA">
        <w:rPr>
          <w:sz w:val="28"/>
          <w:szCs w:val="28"/>
        </w:rPr>
        <w:t xml:space="preserve">15 постановлений (11,3 %) </w:t>
      </w:r>
      <w:r w:rsidR="00AF16F1">
        <w:rPr>
          <w:sz w:val="28"/>
          <w:szCs w:val="28"/>
        </w:rPr>
        <w:t>–</w:t>
      </w:r>
      <w:r w:rsidRPr="005B02EA">
        <w:rPr>
          <w:sz w:val="28"/>
          <w:szCs w:val="28"/>
        </w:rPr>
        <w:t xml:space="preserve"> по делам, вытекающим из кре</w:t>
      </w:r>
      <w:r>
        <w:rPr>
          <w:sz w:val="28"/>
          <w:szCs w:val="28"/>
        </w:rPr>
        <w:t>ди</w:t>
      </w:r>
      <w:r>
        <w:rPr>
          <w:sz w:val="28"/>
          <w:szCs w:val="28"/>
        </w:rPr>
        <w:t>т</w:t>
      </w:r>
      <w:r>
        <w:rPr>
          <w:sz w:val="28"/>
          <w:szCs w:val="28"/>
        </w:rPr>
        <w:t>ных и заёмных правоотношений;</w:t>
      </w:r>
    </w:p>
    <w:p w:rsidR="006A7B80" w:rsidRPr="005B02EA" w:rsidRDefault="006A7B80" w:rsidP="00335DC8">
      <w:pPr>
        <w:numPr>
          <w:ilvl w:val="0"/>
          <w:numId w:val="5"/>
        </w:numPr>
        <w:ind w:left="993" w:hanging="284"/>
        <w:contextualSpacing/>
        <w:jc w:val="both"/>
        <w:rPr>
          <w:sz w:val="28"/>
          <w:szCs w:val="28"/>
        </w:rPr>
      </w:pPr>
      <w:r>
        <w:rPr>
          <w:sz w:val="28"/>
          <w:szCs w:val="28"/>
        </w:rPr>
        <w:t xml:space="preserve"> </w:t>
      </w:r>
      <w:r w:rsidRPr="005B02EA">
        <w:rPr>
          <w:sz w:val="28"/>
          <w:szCs w:val="28"/>
        </w:rPr>
        <w:t xml:space="preserve">14 постановлений (10,5%) </w:t>
      </w:r>
      <w:r w:rsidR="00AF16F1">
        <w:rPr>
          <w:sz w:val="28"/>
          <w:szCs w:val="28"/>
        </w:rPr>
        <w:t>–</w:t>
      </w:r>
      <w:r w:rsidRPr="005B02EA">
        <w:rPr>
          <w:sz w:val="28"/>
          <w:szCs w:val="28"/>
        </w:rPr>
        <w:t xml:space="preserve"> по делам, связанным с пр</w:t>
      </w:r>
      <w:r w:rsidRPr="005B02EA">
        <w:rPr>
          <w:sz w:val="28"/>
          <w:szCs w:val="28"/>
        </w:rPr>
        <w:t>и</w:t>
      </w:r>
      <w:r w:rsidRPr="005B02EA">
        <w:rPr>
          <w:sz w:val="28"/>
          <w:szCs w:val="28"/>
        </w:rPr>
        <w:t>знанием права собственности и устранени</w:t>
      </w:r>
      <w:r w:rsidR="00AF16F1">
        <w:rPr>
          <w:sz w:val="28"/>
          <w:szCs w:val="28"/>
        </w:rPr>
        <w:t>ем</w:t>
      </w:r>
      <w:r w:rsidRPr="005B02EA">
        <w:rPr>
          <w:sz w:val="28"/>
          <w:szCs w:val="28"/>
        </w:rPr>
        <w:t xml:space="preserve"> нарушений отдельных правомочий со</w:t>
      </w:r>
      <w:r w:rsidRPr="005B02EA">
        <w:rPr>
          <w:sz w:val="28"/>
          <w:szCs w:val="28"/>
        </w:rPr>
        <w:t>б</w:t>
      </w:r>
      <w:r w:rsidRPr="005B02EA">
        <w:rPr>
          <w:sz w:val="28"/>
          <w:szCs w:val="28"/>
        </w:rPr>
        <w:t>ственника.</w:t>
      </w:r>
    </w:p>
    <w:p w:rsidR="00AF16F1" w:rsidRPr="00AF16F1" w:rsidRDefault="00AF16F1" w:rsidP="008619A6">
      <w:pPr>
        <w:ind w:firstLine="993"/>
        <w:contextualSpacing/>
        <w:jc w:val="both"/>
        <w:rPr>
          <w:sz w:val="28"/>
          <w:szCs w:val="28"/>
        </w:rPr>
      </w:pPr>
      <w:r w:rsidRPr="00AF16F1">
        <w:rPr>
          <w:sz w:val="28"/>
          <w:szCs w:val="28"/>
        </w:rPr>
        <w:t>Наблюдается рост споров по делам, вытекающим из кредитных прав</w:t>
      </w:r>
      <w:r w:rsidRPr="00AF16F1">
        <w:rPr>
          <w:sz w:val="28"/>
          <w:szCs w:val="28"/>
        </w:rPr>
        <w:t>о</w:t>
      </w:r>
      <w:r w:rsidRPr="00AF16F1">
        <w:rPr>
          <w:sz w:val="28"/>
          <w:szCs w:val="28"/>
        </w:rPr>
        <w:t xml:space="preserve">отношений, обусловленный кризисными явлениями в экономике </w:t>
      </w:r>
      <w:r w:rsidR="00E7593F">
        <w:rPr>
          <w:sz w:val="28"/>
          <w:szCs w:val="28"/>
        </w:rPr>
        <w:t>в целом и</w:t>
      </w:r>
      <w:r w:rsidRPr="00AF16F1">
        <w:rPr>
          <w:sz w:val="28"/>
          <w:szCs w:val="28"/>
        </w:rPr>
        <w:t xml:space="preserve"> банковском секторе республики в отчетном периоде. Также наблюдается стабильно выс</w:t>
      </w:r>
      <w:r w:rsidRPr="00AF16F1">
        <w:rPr>
          <w:sz w:val="28"/>
          <w:szCs w:val="28"/>
        </w:rPr>
        <w:t>о</w:t>
      </w:r>
      <w:r w:rsidRPr="00AF16F1">
        <w:rPr>
          <w:sz w:val="28"/>
          <w:szCs w:val="28"/>
        </w:rPr>
        <w:t>кое количество страховых споров, однако оснований утверждать об их знач</w:t>
      </w:r>
      <w:r w:rsidRPr="00AF16F1">
        <w:rPr>
          <w:sz w:val="28"/>
          <w:szCs w:val="28"/>
        </w:rPr>
        <w:t>и</w:t>
      </w:r>
      <w:r w:rsidRPr="00AF16F1">
        <w:rPr>
          <w:sz w:val="28"/>
          <w:szCs w:val="28"/>
        </w:rPr>
        <w:t>тельном увеличении по сравнению с 2016 годом и 2015 годом</w:t>
      </w:r>
      <w:r w:rsidR="00013FCB">
        <w:rPr>
          <w:sz w:val="28"/>
          <w:szCs w:val="28"/>
        </w:rPr>
        <w:t xml:space="preserve"> </w:t>
      </w:r>
      <w:r w:rsidRPr="00AF16F1">
        <w:rPr>
          <w:sz w:val="28"/>
          <w:szCs w:val="28"/>
        </w:rPr>
        <w:t>не усматриваются.</w:t>
      </w:r>
    </w:p>
    <w:p w:rsidR="00AF16F1" w:rsidRPr="00AF16F1" w:rsidRDefault="00AF16F1" w:rsidP="008619A6">
      <w:pPr>
        <w:ind w:firstLine="993"/>
        <w:contextualSpacing/>
        <w:jc w:val="both"/>
        <w:rPr>
          <w:sz w:val="28"/>
          <w:szCs w:val="28"/>
        </w:rPr>
      </w:pPr>
      <w:r w:rsidRPr="00AF16F1">
        <w:rPr>
          <w:sz w:val="28"/>
          <w:szCs w:val="28"/>
        </w:rPr>
        <w:t>Снизилось количество дел, связанных с нарушениями земельного зак</w:t>
      </w:r>
      <w:r w:rsidRPr="00AF16F1">
        <w:rPr>
          <w:sz w:val="28"/>
          <w:szCs w:val="28"/>
        </w:rPr>
        <w:t>о</w:t>
      </w:r>
      <w:r w:rsidRPr="00AF16F1">
        <w:rPr>
          <w:sz w:val="28"/>
          <w:szCs w:val="28"/>
        </w:rPr>
        <w:t xml:space="preserve">нодательства. Их количество в 2017 году составило 6 дел (4,5%), тогда как в 2016 году – 10 дел (13,7%), в 2015 году – 11 дел (13,6%). </w:t>
      </w:r>
    </w:p>
    <w:p w:rsidR="006A7B80" w:rsidRPr="00A71FC6" w:rsidRDefault="006A7B80" w:rsidP="008619A6">
      <w:pPr>
        <w:ind w:firstLine="900"/>
        <w:contextualSpacing/>
        <w:jc w:val="both"/>
        <w:rPr>
          <w:sz w:val="28"/>
          <w:szCs w:val="28"/>
        </w:rPr>
      </w:pPr>
      <w:r>
        <w:rPr>
          <w:sz w:val="28"/>
          <w:szCs w:val="28"/>
        </w:rPr>
        <w:t>Н</w:t>
      </w:r>
      <w:r w:rsidRPr="00A71FC6">
        <w:rPr>
          <w:sz w:val="28"/>
          <w:szCs w:val="28"/>
        </w:rPr>
        <w:t>еобходимо отме</w:t>
      </w:r>
      <w:r w:rsidR="00963178">
        <w:rPr>
          <w:sz w:val="28"/>
          <w:szCs w:val="28"/>
        </w:rPr>
        <w:t>т</w:t>
      </w:r>
      <w:r w:rsidRPr="00A71FC6">
        <w:rPr>
          <w:sz w:val="28"/>
          <w:szCs w:val="28"/>
        </w:rPr>
        <w:t>ить, что в 2017 году сохраняется высокая доля дел, в которых президиумом установлено нарушение норм ГПК Российской Федер</w:t>
      </w:r>
      <w:r w:rsidRPr="00A71FC6">
        <w:rPr>
          <w:sz w:val="28"/>
          <w:szCs w:val="28"/>
        </w:rPr>
        <w:t>а</w:t>
      </w:r>
      <w:r w:rsidRPr="00A71FC6">
        <w:rPr>
          <w:sz w:val="28"/>
          <w:szCs w:val="28"/>
        </w:rPr>
        <w:t>ции. При этом количество таких дел (15%) уменьшилось по сравнению с 2016 годом, когда такие дела составляли 17,8% и 2015 годом - более 25%</w:t>
      </w:r>
      <w:r w:rsidR="00963178">
        <w:rPr>
          <w:sz w:val="28"/>
          <w:szCs w:val="28"/>
        </w:rPr>
        <w:t>. В связи с нарушением норм права удовлетворено 12,8% кассационных жалоб.</w:t>
      </w:r>
    </w:p>
    <w:p w:rsidR="006A7B80" w:rsidRDefault="006A7B80" w:rsidP="008619A6">
      <w:pPr>
        <w:ind w:firstLine="900"/>
        <w:contextualSpacing/>
        <w:jc w:val="both"/>
        <w:rPr>
          <w:sz w:val="28"/>
          <w:szCs w:val="28"/>
        </w:rPr>
      </w:pPr>
      <w:r w:rsidRPr="00A71FC6">
        <w:rPr>
          <w:sz w:val="28"/>
          <w:szCs w:val="28"/>
        </w:rPr>
        <w:t>При удовлетворении кассационных жалоб на решения мировых судей и апелляционные определения районных судов, преобладают нарушения зак</w:t>
      </w:r>
      <w:r w:rsidRPr="00A71FC6">
        <w:rPr>
          <w:sz w:val="28"/>
          <w:szCs w:val="28"/>
        </w:rPr>
        <w:t>о</w:t>
      </w:r>
      <w:r w:rsidRPr="00A71FC6">
        <w:rPr>
          <w:sz w:val="28"/>
          <w:szCs w:val="28"/>
        </w:rPr>
        <w:t xml:space="preserve">нодательства о защите прав потребителей </w:t>
      </w:r>
      <w:r w:rsidR="00963178">
        <w:rPr>
          <w:sz w:val="28"/>
          <w:szCs w:val="28"/>
        </w:rPr>
        <w:t>–</w:t>
      </w:r>
      <w:r w:rsidRPr="00A71FC6">
        <w:rPr>
          <w:sz w:val="28"/>
          <w:szCs w:val="28"/>
        </w:rPr>
        <w:t xml:space="preserve"> 10 постановлений (28,7%) и нар</w:t>
      </w:r>
      <w:r w:rsidRPr="00A71FC6">
        <w:rPr>
          <w:sz w:val="28"/>
          <w:szCs w:val="28"/>
        </w:rPr>
        <w:t>у</w:t>
      </w:r>
      <w:r w:rsidRPr="00A71FC6">
        <w:rPr>
          <w:sz w:val="28"/>
          <w:szCs w:val="28"/>
        </w:rPr>
        <w:t>шения норм ГПК Российской Федерации – 7 постановлений (20%).</w:t>
      </w:r>
    </w:p>
    <w:p w:rsidR="00013FCB" w:rsidRDefault="00013FCB" w:rsidP="008619A6">
      <w:pPr>
        <w:ind w:firstLine="900"/>
        <w:contextualSpacing/>
        <w:jc w:val="both"/>
        <w:rPr>
          <w:b/>
          <w:sz w:val="28"/>
          <w:szCs w:val="28"/>
          <w:u w:val="single"/>
        </w:rPr>
      </w:pPr>
    </w:p>
    <w:p w:rsidR="006A7B80" w:rsidRPr="00D37BFA" w:rsidRDefault="006A7B80" w:rsidP="008619A6">
      <w:pPr>
        <w:ind w:firstLine="900"/>
        <w:contextualSpacing/>
        <w:jc w:val="both"/>
        <w:rPr>
          <w:b/>
          <w:sz w:val="28"/>
          <w:szCs w:val="28"/>
          <w:u w:val="single"/>
        </w:rPr>
      </w:pPr>
      <w:r w:rsidRPr="00D37BFA">
        <w:rPr>
          <w:b/>
          <w:sz w:val="28"/>
          <w:szCs w:val="28"/>
          <w:u w:val="single"/>
        </w:rPr>
        <w:t>Адм</w:t>
      </w:r>
      <w:r>
        <w:rPr>
          <w:b/>
          <w:sz w:val="28"/>
          <w:szCs w:val="28"/>
          <w:u w:val="single"/>
        </w:rPr>
        <w:t>инистративное судопроизводство</w:t>
      </w:r>
    </w:p>
    <w:p w:rsidR="006A7B80" w:rsidRDefault="006A7B80" w:rsidP="008619A6">
      <w:pPr>
        <w:ind w:firstLine="900"/>
        <w:contextualSpacing/>
        <w:jc w:val="both"/>
        <w:rPr>
          <w:sz w:val="28"/>
          <w:szCs w:val="28"/>
        </w:rPr>
      </w:pPr>
      <w:r w:rsidRPr="00D37BFA">
        <w:rPr>
          <w:sz w:val="28"/>
          <w:szCs w:val="28"/>
          <w:u w:val="single"/>
        </w:rPr>
        <w:t>Первая инстанция</w:t>
      </w:r>
      <w:r w:rsidR="00013FCB">
        <w:rPr>
          <w:sz w:val="28"/>
          <w:szCs w:val="28"/>
          <w:u w:val="single"/>
        </w:rPr>
        <w:t xml:space="preserve">. </w:t>
      </w:r>
      <w:r w:rsidRPr="00D37BFA">
        <w:rPr>
          <w:sz w:val="28"/>
          <w:szCs w:val="28"/>
        </w:rPr>
        <w:t>В течение 2017 года в Верховный Суд Республики Татарстан на рассмотрение поступило 1126 административных исковых заявл</w:t>
      </w:r>
      <w:r w:rsidRPr="00D37BFA">
        <w:rPr>
          <w:sz w:val="28"/>
          <w:szCs w:val="28"/>
        </w:rPr>
        <w:t>е</w:t>
      </w:r>
      <w:r w:rsidRPr="00D37BFA">
        <w:rPr>
          <w:sz w:val="28"/>
          <w:szCs w:val="28"/>
        </w:rPr>
        <w:t>ний.</w:t>
      </w:r>
    </w:p>
    <w:p w:rsidR="00013FCB" w:rsidRDefault="00013FCB" w:rsidP="008619A6">
      <w:pPr>
        <w:ind w:firstLine="900"/>
        <w:contextualSpacing/>
        <w:jc w:val="both"/>
        <w:rPr>
          <w:sz w:val="28"/>
          <w:szCs w:val="28"/>
        </w:rPr>
      </w:pPr>
      <w:r w:rsidRPr="00D37BFA">
        <w:rPr>
          <w:sz w:val="28"/>
          <w:szCs w:val="28"/>
        </w:rPr>
        <w:t xml:space="preserve">Сравнивая показатели работы первой инстанции необходимо отметить, что в 2017 году по сравнению с 2016 годом произошло значительное, более чем на </w:t>
      </w:r>
      <w:r>
        <w:rPr>
          <w:sz w:val="28"/>
          <w:szCs w:val="28"/>
        </w:rPr>
        <w:t>19</w:t>
      </w:r>
      <w:r w:rsidRPr="00D37BFA">
        <w:rPr>
          <w:sz w:val="28"/>
          <w:szCs w:val="28"/>
        </w:rPr>
        <w:t>,5%, увеличение количества поступивших на рассмотрение суда админ</w:t>
      </w:r>
      <w:r w:rsidRPr="00D37BFA">
        <w:rPr>
          <w:sz w:val="28"/>
          <w:szCs w:val="28"/>
        </w:rPr>
        <w:t>и</w:t>
      </w:r>
      <w:r w:rsidRPr="00D37BFA">
        <w:rPr>
          <w:sz w:val="28"/>
          <w:szCs w:val="28"/>
        </w:rPr>
        <w:t>стративных исковых заявлений.</w:t>
      </w:r>
    </w:p>
    <w:p w:rsidR="00013FCB" w:rsidRDefault="00013FCB" w:rsidP="008619A6">
      <w:pPr>
        <w:ind w:firstLine="900"/>
        <w:contextualSpacing/>
        <w:jc w:val="both"/>
        <w:rPr>
          <w:sz w:val="28"/>
          <w:szCs w:val="28"/>
        </w:rPr>
      </w:pPr>
    </w:p>
    <w:p w:rsidR="006A7B80" w:rsidRDefault="006A7B80" w:rsidP="008619A6">
      <w:pPr>
        <w:ind w:firstLine="900"/>
        <w:contextualSpacing/>
        <w:jc w:val="center"/>
        <w:rPr>
          <w:sz w:val="28"/>
          <w:szCs w:val="28"/>
        </w:rPr>
      </w:pPr>
      <w:r w:rsidRPr="005F18CB">
        <w:rPr>
          <w:sz w:val="24"/>
          <w:szCs w:val="24"/>
        </w:rPr>
        <w:lastRenderedPageBreak/>
        <w:t xml:space="preserve">              </w:t>
      </w:r>
      <w:r>
        <w:rPr>
          <w:sz w:val="24"/>
          <w:szCs w:val="24"/>
        </w:rPr>
        <w:t xml:space="preserve">                               </w:t>
      </w:r>
      <w:r w:rsidRPr="005F18CB">
        <w:rPr>
          <w:sz w:val="24"/>
          <w:szCs w:val="24"/>
        </w:rPr>
        <w:t xml:space="preserve">                                                                     </w:t>
      </w:r>
      <w:r>
        <w:rPr>
          <w:sz w:val="24"/>
          <w:szCs w:val="24"/>
        </w:rPr>
        <w:t xml:space="preserve">   </w:t>
      </w:r>
      <w:r w:rsidRPr="005F18CB">
        <w:rPr>
          <w:sz w:val="24"/>
          <w:szCs w:val="24"/>
        </w:rPr>
        <w:t xml:space="preserve">      Таб</w:t>
      </w:r>
      <w:r>
        <w:rPr>
          <w:sz w:val="24"/>
          <w:szCs w:val="24"/>
        </w:rPr>
        <w:t>лица 9</w:t>
      </w:r>
    </w:p>
    <w:tbl>
      <w:tblPr>
        <w:tblW w:w="8648" w:type="dxa"/>
        <w:tblInd w:w="959"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4962"/>
        <w:gridCol w:w="1843"/>
        <w:gridCol w:w="1843"/>
      </w:tblGrid>
      <w:tr w:rsidR="006A7B80" w:rsidRPr="00CD4AE3" w:rsidTr="00013FCB">
        <w:trPr>
          <w:trHeight w:val="176"/>
        </w:trPr>
        <w:tc>
          <w:tcPr>
            <w:tcW w:w="8648" w:type="dxa"/>
            <w:gridSpan w:val="3"/>
            <w:tcBorders>
              <w:top w:val="double" w:sz="4" w:space="0" w:color="auto"/>
              <w:bottom w:val="single" w:sz="4" w:space="0" w:color="auto"/>
            </w:tcBorders>
            <w:shd w:val="clear" w:color="auto" w:fill="auto"/>
            <w:vAlign w:val="center"/>
          </w:tcPr>
          <w:p w:rsidR="006A7B80" w:rsidRPr="00CD4AE3" w:rsidRDefault="006A7B80" w:rsidP="008619A6">
            <w:pPr>
              <w:contextualSpacing/>
              <w:jc w:val="center"/>
              <w:rPr>
                <w:b/>
                <w:sz w:val="24"/>
                <w:szCs w:val="24"/>
              </w:rPr>
            </w:pPr>
            <w:r>
              <w:rPr>
                <w:b/>
                <w:sz w:val="24"/>
                <w:szCs w:val="24"/>
              </w:rPr>
              <w:t>Результаты рассмотрения административных исковых заявлений</w:t>
            </w:r>
          </w:p>
        </w:tc>
      </w:tr>
      <w:tr w:rsidR="006A7B80" w:rsidRPr="00CD4AE3" w:rsidTr="00013FCB">
        <w:trPr>
          <w:trHeight w:val="66"/>
        </w:trPr>
        <w:tc>
          <w:tcPr>
            <w:tcW w:w="4962" w:type="dxa"/>
            <w:tcBorders>
              <w:top w:val="single" w:sz="4" w:space="0" w:color="auto"/>
              <w:bottom w:val="thickThinLargeGap" w:sz="24" w:space="0" w:color="auto"/>
            </w:tcBorders>
            <w:shd w:val="clear" w:color="auto" w:fill="auto"/>
            <w:vAlign w:val="center"/>
          </w:tcPr>
          <w:p w:rsidR="006A7B80" w:rsidRPr="00CD4AE3" w:rsidRDefault="006A7B80" w:rsidP="008619A6">
            <w:pPr>
              <w:contextualSpacing/>
              <w:jc w:val="center"/>
              <w:rPr>
                <w:sz w:val="24"/>
                <w:szCs w:val="24"/>
              </w:rPr>
            </w:pPr>
          </w:p>
        </w:tc>
        <w:tc>
          <w:tcPr>
            <w:tcW w:w="1843" w:type="dxa"/>
            <w:tcBorders>
              <w:top w:val="single" w:sz="4" w:space="0" w:color="auto"/>
              <w:bottom w:val="thickThinLargeGap" w:sz="24" w:space="0" w:color="auto"/>
            </w:tcBorders>
            <w:shd w:val="clear" w:color="auto" w:fill="auto"/>
            <w:vAlign w:val="center"/>
          </w:tcPr>
          <w:p w:rsidR="006A7B80" w:rsidRPr="00CD4AE3" w:rsidRDefault="006A7B80" w:rsidP="008619A6">
            <w:pPr>
              <w:contextualSpacing/>
              <w:jc w:val="center"/>
              <w:rPr>
                <w:b/>
                <w:sz w:val="24"/>
                <w:szCs w:val="24"/>
              </w:rPr>
            </w:pPr>
            <w:r>
              <w:rPr>
                <w:b/>
                <w:sz w:val="24"/>
                <w:szCs w:val="24"/>
              </w:rPr>
              <w:t>2016</w:t>
            </w:r>
          </w:p>
        </w:tc>
        <w:tc>
          <w:tcPr>
            <w:tcW w:w="1843" w:type="dxa"/>
            <w:tcBorders>
              <w:top w:val="single" w:sz="4" w:space="0" w:color="auto"/>
              <w:bottom w:val="thickThinLargeGap" w:sz="24" w:space="0" w:color="auto"/>
            </w:tcBorders>
            <w:shd w:val="clear" w:color="auto" w:fill="auto"/>
            <w:vAlign w:val="center"/>
          </w:tcPr>
          <w:p w:rsidR="006A7B80" w:rsidRPr="00CD4AE3" w:rsidRDefault="006A7B80" w:rsidP="008619A6">
            <w:pPr>
              <w:contextualSpacing/>
              <w:jc w:val="center"/>
              <w:rPr>
                <w:b/>
                <w:sz w:val="24"/>
                <w:szCs w:val="24"/>
              </w:rPr>
            </w:pPr>
            <w:r>
              <w:rPr>
                <w:b/>
                <w:sz w:val="24"/>
                <w:szCs w:val="24"/>
              </w:rPr>
              <w:t>2017</w:t>
            </w:r>
          </w:p>
        </w:tc>
      </w:tr>
      <w:tr w:rsidR="006A7B80" w:rsidRPr="00CD4AE3" w:rsidTr="00013FCB">
        <w:trPr>
          <w:trHeight w:val="96"/>
        </w:trPr>
        <w:tc>
          <w:tcPr>
            <w:tcW w:w="4962" w:type="dxa"/>
            <w:tcBorders>
              <w:top w:val="thickThinLargeGap" w:sz="24" w:space="0" w:color="auto"/>
            </w:tcBorders>
            <w:vAlign w:val="center"/>
          </w:tcPr>
          <w:p w:rsidR="006A7B80" w:rsidRPr="00240969" w:rsidRDefault="006A7B80" w:rsidP="008619A6">
            <w:pPr>
              <w:contextualSpacing/>
              <w:jc w:val="center"/>
              <w:rPr>
                <w:b/>
                <w:sz w:val="24"/>
                <w:szCs w:val="24"/>
                <w:lang w:val="en-US"/>
              </w:rPr>
            </w:pPr>
            <w:r w:rsidRPr="00240969">
              <w:rPr>
                <w:b/>
                <w:sz w:val="24"/>
                <w:szCs w:val="24"/>
              </w:rPr>
              <w:t xml:space="preserve">Количество </w:t>
            </w:r>
            <w:proofErr w:type="gramStart"/>
            <w:r w:rsidRPr="00240969">
              <w:rPr>
                <w:b/>
                <w:sz w:val="24"/>
                <w:szCs w:val="24"/>
              </w:rPr>
              <w:t>поступивших</w:t>
            </w:r>
            <w:proofErr w:type="gramEnd"/>
          </w:p>
        </w:tc>
        <w:tc>
          <w:tcPr>
            <w:tcW w:w="1843" w:type="dxa"/>
            <w:tcBorders>
              <w:top w:val="thickThinLargeGap" w:sz="24" w:space="0" w:color="auto"/>
            </w:tcBorders>
            <w:vAlign w:val="center"/>
          </w:tcPr>
          <w:p w:rsidR="006A7B80" w:rsidRPr="00240969" w:rsidRDefault="006A7B80" w:rsidP="008619A6">
            <w:pPr>
              <w:contextualSpacing/>
              <w:jc w:val="center"/>
              <w:rPr>
                <w:i/>
                <w:iCs/>
                <w:sz w:val="24"/>
                <w:szCs w:val="24"/>
              </w:rPr>
            </w:pPr>
            <w:r w:rsidRPr="00240969">
              <w:rPr>
                <w:i/>
                <w:iCs/>
                <w:sz w:val="24"/>
                <w:szCs w:val="24"/>
              </w:rPr>
              <w:t>449</w:t>
            </w:r>
          </w:p>
        </w:tc>
        <w:tc>
          <w:tcPr>
            <w:tcW w:w="1843" w:type="dxa"/>
            <w:tcBorders>
              <w:top w:val="thickThinLargeGap" w:sz="24" w:space="0" w:color="auto"/>
            </w:tcBorders>
            <w:vAlign w:val="center"/>
          </w:tcPr>
          <w:p w:rsidR="006A7B80" w:rsidRPr="00CA0394" w:rsidRDefault="006A7B80" w:rsidP="008619A6">
            <w:pPr>
              <w:contextualSpacing/>
              <w:jc w:val="center"/>
              <w:rPr>
                <w:i/>
                <w:iCs/>
                <w:sz w:val="24"/>
                <w:szCs w:val="24"/>
              </w:rPr>
            </w:pPr>
            <w:r w:rsidRPr="00CA0394">
              <w:rPr>
                <w:i/>
                <w:iCs/>
                <w:sz w:val="24"/>
                <w:szCs w:val="24"/>
              </w:rPr>
              <w:t>537</w:t>
            </w:r>
          </w:p>
        </w:tc>
      </w:tr>
      <w:tr w:rsidR="006A7B80" w:rsidRPr="00CD4AE3" w:rsidTr="00013FCB">
        <w:trPr>
          <w:trHeight w:val="62"/>
        </w:trPr>
        <w:tc>
          <w:tcPr>
            <w:tcW w:w="4962" w:type="dxa"/>
            <w:vAlign w:val="center"/>
          </w:tcPr>
          <w:p w:rsidR="006A7B80" w:rsidRPr="00240969" w:rsidRDefault="006A7B80" w:rsidP="008619A6">
            <w:pPr>
              <w:contextualSpacing/>
              <w:jc w:val="center"/>
              <w:rPr>
                <w:b/>
                <w:sz w:val="24"/>
                <w:szCs w:val="24"/>
                <w:lang w:val="en-US"/>
              </w:rPr>
            </w:pPr>
            <w:r w:rsidRPr="00240969">
              <w:rPr>
                <w:b/>
                <w:sz w:val="24"/>
                <w:szCs w:val="24"/>
              </w:rPr>
              <w:t>Окончено производством</w:t>
            </w:r>
          </w:p>
        </w:tc>
        <w:tc>
          <w:tcPr>
            <w:tcW w:w="1843" w:type="dxa"/>
            <w:vAlign w:val="center"/>
          </w:tcPr>
          <w:p w:rsidR="006A7B80" w:rsidRPr="00240969" w:rsidRDefault="006A7B80" w:rsidP="008619A6">
            <w:pPr>
              <w:contextualSpacing/>
              <w:jc w:val="center"/>
              <w:rPr>
                <w:i/>
                <w:iCs/>
                <w:sz w:val="24"/>
                <w:szCs w:val="24"/>
              </w:rPr>
            </w:pPr>
            <w:r w:rsidRPr="00240969">
              <w:rPr>
                <w:i/>
                <w:iCs/>
                <w:sz w:val="24"/>
                <w:szCs w:val="24"/>
              </w:rPr>
              <w:t>322</w:t>
            </w:r>
          </w:p>
        </w:tc>
        <w:tc>
          <w:tcPr>
            <w:tcW w:w="1843" w:type="dxa"/>
            <w:vAlign w:val="center"/>
          </w:tcPr>
          <w:p w:rsidR="006A7B80" w:rsidRPr="00CA0394" w:rsidRDefault="006A7B80" w:rsidP="008619A6">
            <w:pPr>
              <w:contextualSpacing/>
              <w:jc w:val="center"/>
              <w:rPr>
                <w:i/>
                <w:iCs/>
                <w:sz w:val="24"/>
                <w:szCs w:val="24"/>
              </w:rPr>
            </w:pPr>
            <w:r w:rsidRPr="00CA0394">
              <w:rPr>
                <w:i/>
                <w:iCs/>
                <w:sz w:val="24"/>
                <w:szCs w:val="24"/>
              </w:rPr>
              <w:t>562</w:t>
            </w:r>
          </w:p>
        </w:tc>
      </w:tr>
      <w:tr w:rsidR="006A7B80" w:rsidRPr="00CD4AE3" w:rsidTr="00013FCB">
        <w:trPr>
          <w:trHeight w:val="72"/>
        </w:trPr>
        <w:tc>
          <w:tcPr>
            <w:tcW w:w="4962" w:type="dxa"/>
            <w:vAlign w:val="center"/>
          </w:tcPr>
          <w:p w:rsidR="006A7B80" w:rsidRPr="00240969" w:rsidRDefault="006A7B80" w:rsidP="008619A6">
            <w:pPr>
              <w:contextualSpacing/>
              <w:jc w:val="center"/>
              <w:rPr>
                <w:b/>
                <w:sz w:val="24"/>
                <w:szCs w:val="24"/>
              </w:rPr>
            </w:pPr>
            <w:r w:rsidRPr="00240969">
              <w:rPr>
                <w:b/>
                <w:sz w:val="24"/>
                <w:szCs w:val="24"/>
              </w:rPr>
              <w:t>Рассмотрено с вынесением решения</w:t>
            </w:r>
          </w:p>
        </w:tc>
        <w:tc>
          <w:tcPr>
            <w:tcW w:w="1843" w:type="dxa"/>
            <w:vAlign w:val="center"/>
          </w:tcPr>
          <w:p w:rsidR="006A7B80" w:rsidRPr="00240969" w:rsidRDefault="006A7B80" w:rsidP="008619A6">
            <w:pPr>
              <w:contextualSpacing/>
              <w:jc w:val="center"/>
              <w:rPr>
                <w:i/>
                <w:iCs/>
                <w:sz w:val="24"/>
                <w:szCs w:val="24"/>
              </w:rPr>
            </w:pPr>
            <w:r w:rsidRPr="00240969">
              <w:rPr>
                <w:i/>
                <w:iCs/>
                <w:sz w:val="24"/>
                <w:szCs w:val="24"/>
              </w:rPr>
              <w:t>300</w:t>
            </w:r>
          </w:p>
        </w:tc>
        <w:tc>
          <w:tcPr>
            <w:tcW w:w="1843" w:type="dxa"/>
            <w:vAlign w:val="center"/>
          </w:tcPr>
          <w:p w:rsidR="006A7B80" w:rsidRPr="00CA0394" w:rsidRDefault="006A7B80" w:rsidP="008619A6">
            <w:pPr>
              <w:contextualSpacing/>
              <w:jc w:val="center"/>
              <w:rPr>
                <w:i/>
                <w:iCs/>
                <w:sz w:val="24"/>
                <w:szCs w:val="24"/>
              </w:rPr>
            </w:pPr>
            <w:r w:rsidRPr="00CA0394">
              <w:rPr>
                <w:i/>
                <w:iCs/>
                <w:sz w:val="24"/>
                <w:szCs w:val="24"/>
              </w:rPr>
              <w:t>511</w:t>
            </w:r>
          </w:p>
        </w:tc>
      </w:tr>
      <w:tr w:rsidR="006A7B80" w:rsidRPr="00CD4AE3" w:rsidTr="00013FCB">
        <w:trPr>
          <w:trHeight w:val="62"/>
        </w:trPr>
        <w:tc>
          <w:tcPr>
            <w:tcW w:w="4962" w:type="dxa"/>
            <w:vAlign w:val="center"/>
          </w:tcPr>
          <w:p w:rsidR="006A7B80" w:rsidRPr="00240969" w:rsidRDefault="006A7B80" w:rsidP="008619A6">
            <w:pPr>
              <w:contextualSpacing/>
              <w:jc w:val="center"/>
              <w:rPr>
                <w:b/>
                <w:sz w:val="24"/>
                <w:szCs w:val="24"/>
              </w:rPr>
            </w:pPr>
            <w:r w:rsidRPr="00240969">
              <w:rPr>
                <w:b/>
                <w:sz w:val="24"/>
                <w:szCs w:val="24"/>
              </w:rPr>
              <w:t>Прекращено</w:t>
            </w:r>
          </w:p>
        </w:tc>
        <w:tc>
          <w:tcPr>
            <w:tcW w:w="1843" w:type="dxa"/>
            <w:vAlign w:val="center"/>
          </w:tcPr>
          <w:p w:rsidR="006A7B80" w:rsidRPr="00240969" w:rsidRDefault="006A7B80" w:rsidP="008619A6">
            <w:pPr>
              <w:contextualSpacing/>
              <w:jc w:val="center"/>
              <w:rPr>
                <w:i/>
                <w:iCs/>
                <w:sz w:val="24"/>
                <w:szCs w:val="24"/>
              </w:rPr>
            </w:pPr>
            <w:r w:rsidRPr="00240969">
              <w:rPr>
                <w:i/>
                <w:iCs/>
                <w:sz w:val="24"/>
                <w:szCs w:val="24"/>
              </w:rPr>
              <w:t>17</w:t>
            </w:r>
          </w:p>
        </w:tc>
        <w:tc>
          <w:tcPr>
            <w:tcW w:w="1843" w:type="dxa"/>
            <w:vAlign w:val="center"/>
          </w:tcPr>
          <w:p w:rsidR="006A7B80" w:rsidRPr="00CA0394" w:rsidRDefault="006A7B80" w:rsidP="008619A6">
            <w:pPr>
              <w:contextualSpacing/>
              <w:jc w:val="center"/>
              <w:rPr>
                <w:i/>
                <w:iCs/>
                <w:sz w:val="24"/>
                <w:szCs w:val="24"/>
              </w:rPr>
            </w:pPr>
            <w:r w:rsidRPr="00CA0394">
              <w:rPr>
                <w:i/>
                <w:iCs/>
                <w:sz w:val="24"/>
                <w:szCs w:val="24"/>
              </w:rPr>
              <w:t>42</w:t>
            </w:r>
          </w:p>
        </w:tc>
      </w:tr>
      <w:tr w:rsidR="006A7B80" w:rsidRPr="00CD4AE3" w:rsidTr="00013FCB">
        <w:trPr>
          <w:trHeight w:val="163"/>
        </w:trPr>
        <w:tc>
          <w:tcPr>
            <w:tcW w:w="4962" w:type="dxa"/>
            <w:vAlign w:val="center"/>
          </w:tcPr>
          <w:p w:rsidR="006A7B80" w:rsidRPr="00240969" w:rsidRDefault="006A7B80" w:rsidP="008619A6">
            <w:pPr>
              <w:contextualSpacing/>
              <w:jc w:val="center"/>
              <w:rPr>
                <w:b/>
                <w:sz w:val="24"/>
                <w:szCs w:val="24"/>
              </w:rPr>
            </w:pPr>
            <w:r w:rsidRPr="00240969">
              <w:rPr>
                <w:b/>
                <w:sz w:val="24"/>
                <w:szCs w:val="24"/>
              </w:rPr>
              <w:t>Оставлено без рассмотрения</w:t>
            </w:r>
          </w:p>
        </w:tc>
        <w:tc>
          <w:tcPr>
            <w:tcW w:w="1843" w:type="dxa"/>
            <w:vAlign w:val="center"/>
          </w:tcPr>
          <w:p w:rsidR="006A7B80" w:rsidRPr="00240969" w:rsidRDefault="006A7B80" w:rsidP="008619A6">
            <w:pPr>
              <w:contextualSpacing/>
              <w:jc w:val="center"/>
              <w:rPr>
                <w:i/>
                <w:iCs/>
                <w:sz w:val="24"/>
                <w:szCs w:val="24"/>
              </w:rPr>
            </w:pPr>
            <w:r w:rsidRPr="00240969">
              <w:rPr>
                <w:i/>
                <w:iCs/>
                <w:sz w:val="24"/>
                <w:szCs w:val="24"/>
              </w:rPr>
              <w:t>5</w:t>
            </w:r>
          </w:p>
        </w:tc>
        <w:tc>
          <w:tcPr>
            <w:tcW w:w="1843" w:type="dxa"/>
            <w:vAlign w:val="center"/>
          </w:tcPr>
          <w:p w:rsidR="006A7B80" w:rsidRPr="00CA0394" w:rsidRDefault="006A7B80" w:rsidP="008619A6">
            <w:pPr>
              <w:contextualSpacing/>
              <w:jc w:val="center"/>
              <w:rPr>
                <w:i/>
                <w:iCs/>
                <w:sz w:val="24"/>
                <w:szCs w:val="24"/>
              </w:rPr>
            </w:pPr>
            <w:r w:rsidRPr="00CA0394">
              <w:rPr>
                <w:i/>
                <w:iCs/>
                <w:sz w:val="24"/>
                <w:szCs w:val="24"/>
              </w:rPr>
              <w:t>7</w:t>
            </w:r>
          </w:p>
        </w:tc>
      </w:tr>
      <w:tr w:rsidR="006A7B80" w:rsidRPr="00CD4AE3" w:rsidTr="00013FCB">
        <w:trPr>
          <w:trHeight w:val="77"/>
        </w:trPr>
        <w:tc>
          <w:tcPr>
            <w:tcW w:w="4962" w:type="dxa"/>
            <w:vAlign w:val="center"/>
          </w:tcPr>
          <w:p w:rsidR="006A7B80" w:rsidRPr="00240969" w:rsidRDefault="006A7B80" w:rsidP="008619A6">
            <w:pPr>
              <w:contextualSpacing/>
              <w:jc w:val="center"/>
              <w:rPr>
                <w:b/>
                <w:sz w:val="24"/>
                <w:szCs w:val="24"/>
              </w:rPr>
            </w:pPr>
            <w:r w:rsidRPr="00240969">
              <w:rPr>
                <w:b/>
                <w:sz w:val="24"/>
                <w:szCs w:val="24"/>
              </w:rPr>
              <w:t>Передано в другие суды</w:t>
            </w:r>
          </w:p>
        </w:tc>
        <w:tc>
          <w:tcPr>
            <w:tcW w:w="1843" w:type="dxa"/>
            <w:vAlign w:val="center"/>
          </w:tcPr>
          <w:p w:rsidR="006A7B80" w:rsidRPr="00240969" w:rsidRDefault="006A7B80" w:rsidP="008619A6">
            <w:pPr>
              <w:contextualSpacing/>
              <w:jc w:val="center"/>
              <w:rPr>
                <w:i/>
                <w:iCs/>
                <w:sz w:val="24"/>
                <w:szCs w:val="24"/>
              </w:rPr>
            </w:pPr>
            <w:r w:rsidRPr="00240969">
              <w:rPr>
                <w:i/>
                <w:iCs/>
                <w:sz w:val="24"/>
                <w:szCs w:val="24"/>
              </w:rPr>
              <w:t>-</w:t>
            </w:r>
          </w:p>
        </w:tc>
        <w:tc>
          <w:tcPr>
            <w:tcW w:w="1843" w:type="dxa"/>
            <w:vAlign w:val="center"/>
          </w:tcPr>
          <w:p w:rsidR="006A7B80" w:rsidRPr="00CA0394" w:rsidRDefault="006A7B80" w:rsidP="008619A6">
            <w:pPr>
              <w:contextualSpacing/>
              <w:jc w:val="center"/>
              <w:rPr>
                <w:i/>
                <w:iCs/>
                <w:sz w:val="24"/>
                <w:szCs w:val="24"/>
              </w:rPr>
            </w:pPr>
            <w:r w:rsidRPr="00CA0394">
              <w:rPr>
                <w:i/>
                <w:iCs/>
                <w:sz w:val="24"/>
                <w:szCs w:val="24"/>
              </w:rPr>
              <w:t>2</w:t>
            </w:r>
          </w:p>
        </w:tc>
      </w:tr>
    </w:tbl>
    <w:p w:rsidR="00DF4F49" w:rsidRDefault="00DF4F49" w:rsidP="008619A6">
      <w:pPr>
        <w:ind w:firstLine="900"/>
        <w:contextualSpacing/>
        <w:jc w:val="both"/>
        <w:rPr>
          <w:sz w:val="28"/>
          <w:szCs w:val="28"/>
          <w:u w:val="single"/>
        </w:rPr>
      </w:pPr>
    </w:p>
    <w:p w:rsidR="006A7B80" w:rsidRDefault="006A7B80" w:rsidP="008619A6">
      <w:pPr>
        <w:ind w:firstLine="900"/>
        <w:contextualSpacing/>
        <w:jc w:val="both"/>
        <w:rPr>
          <w:sz w:val="28"/>
          <w:szCs w:val="28"/>
        </w:rPr>
      </w:pPr>
      <w:r w:rsidRPr="00240969">
        <w:rPr>
          <w:sz w:val="28"/>
          <w:szCs w:val="28"/>
          <w:u w:val="single"/>
        </w:rPr>
        <w:t>Апелляционная инстанция</w:t>
      </w:r>
      <w:r w:rsidR="005958F4">
        <w:rPr>
          <w:sz w:val="28"/>
          <w:szCs w:val="28"/>
          <w:u w:val="single"/>
        </w:rPr>
        <w:t xml:space="preserve">. </w:t>
      </w:r>
      <w:r w:rsidRPr="00970AF9">
        <w:rPr>
          <w:sz w:val="28"/>
          <w:szCs w:val="28"/>
        </w:rPr>
        <w:t>На апелляционное рассмотрение в Верховный Суд Республики Тата</w:t>
      </w:r>
      <w:r w:rsidRPr="00970AF9">
        <w:rPr>
          <w:sz w:val="28"/>
          <w:szCs w:val="28"/>
        </w:rPr>
        <w:t>р</w:t>
      </w:r>
      <w:r w:rsidRPr="00970AF9">
        <w:rPr>
          <w:sz w:val="28"/>
          <w:szCs w:val="28"/>
        </w:rPr>
        <w:t xml:space="preserve">стан в 2017 году поступило </w:t>
      </w:r>
      <w:r>
        <w:rPr>
          <w:sz w:val="28"/>
          <w:szCs w:val="28"/>
        </w:rPr>
        <w:t>2376 административных дел</w:t>
      </w:r>
      <w:r w:rsidRPr="00970AF9">
        <w:rPr>
          <w:sz w:val="28"/>
          <w:szCs w:val="28"/>
        </w:rPr>
        <w:t>,</w:t>
      </w:r>
      <w:r w:rsidR="00013FCB">
        <w:rPr>
          <w:sz w:val="28"/>
          <w:szCs w:val="28"/>
        </w:rPr>
        <w:t xml:space="preserve"> что на </w:t>
      </w:r>
      <w:r w:rsidR="00013FCB" w:rsidRPr="00970AF9">
        <w:rPr>
          <w:sz w:val="28"/>
          <w:szCs w:val="28"/>
        </w:rPr>
        <w:t xml:space="preserve">22 % </w:t>
      </w:r>
      <w:r w:rsidR="00013FCB">
        <w:rPr>
          <w:sz w:val="28"/>
          <w:szCs w:val="28"/>
        </w:rPr>
        <w:t>мень</w:t>
      </w:r>
      <w:r w:rsidR="00013FCB" w:rsidRPr="00970AF9">
        <w:rPr>
          <w:sz w:val="28"/>
          <w:szCs w:val="28"/>
        </w:rPr>
        <w:t>ше</w:t>
      </w:r>
      <w:r w:rsidR="00013FCB">
        <w:rPr>
          <w:sz w:val="28"/>
          <w:szCs w:val="28"/>
        </w:rPr>
        <w:t xml:space="preserve">, чем </w:t>
      </w:r>
      <w:r w:rsidR="00013FCB" w:rsidRPr="00970AF9">
        <w:rPr>
          <w:sz w:val="28"/>
          <w:szCs w:val="28"/>
        </w:rPr>
        <w:t xml:space="preserve"> в 2016 году</w:t>
      </w:r>
      <w:r w:rsidR="00013FCB">
        <w:rPr>
          <w:sz w:val="28"/>
          <w:szCs w:val="28"/>
        </w:rPr>
        <w:t xml:space="preserve"> (3085)</w:t>
      </w:r>
      <w:r w:rsidRPr="00970AF9">
        <w:rPr>
          <w:sz w:val="28"/>
          <w:szCs w:val="28"/>
        </w:rPr>
        <w:t>.</w:t>
      </w:r>
    </w:p>
    <w:p w:rsidR="006A7B80" w:rsidRDefault="006A7B80" w:rsidP="008619A6">
      <w:pPr>
        <w:ind w:firstLine="900"/>
        <w:contextualSpacing/>
        <w:jc w:val="both"/>
        <w:rPr>
          <w:sz w:val="28"/>
          <w:szCs w:val="28"/>
        </w:rPr>
      </w:pPr>
      <w:r>
        <w:rPr>
          <w:sz w:val="28"/>
          <w:szCs w:val="28"/>
        </w:rPr>
        <w:t xml:space="preserve">Результаты рассмотрения дел </w:t>
      </w:r>
      <w:r w:rsidR="00013FCB">
        <w:rPr>
          <w:sz w:val="28"/>
          <w:szCs w:val="28"/>
        </w:rPr>
        <w:t>представлены</w:t>
      </w:r>
      <w:r>
        <w:rPr>
          <w:sz w:val="28"/>
          <w:szCs w:val="28"/>
        </w:rPr>
        <w:t xml:space="preserve"> в Таблице 10.</w:t>
      </w:r>
    </w:p>
    <w:p w:rsidR="006A7B80" w:rsidRDefault="006A7B80" w:rsidP="008619A6">
      <w:pPr>
        <w:ind w:firstLine="900"/>
        <w:contextualSpacing/>
        <w:jc w:val="center"/>
        <w:rPr>
          <w:sz w:val="28"/>
          <w:szCs w:val="28"/>
        </w:rPr>
      </w:pPr>
      <w:r w:rsidRPr="005F18CB">
        <w:rPr>
          <w:sz w:val="24"/>
          <w:szCs w:val="24"/>
        </w:rPr>
        <w:t xml:space="preserve">           </w:t>
      </w:r>
      <w:r>
        <w:rPr>
          <w:sz w:val="24"/>
          <w:szCs w:val="24"/>
        </w:rPr>
        <w:t xml:space="preserve">                               </w:t>
      </w:r>
      <w:r w:rsidRPr="005F18CB">
        <w:rPr>
          <w:sz w:val="24"/>
          <w:szCs w:val="24"/>
        </w:rPr>
        <w:t xml:space="preserve">                                                                     </w:t>
      </w:r>
      <w:r>
        <w:rPr>
          <w:sz w:val="24"/>
          <w:szCs w:val="24"/>
        </w:rPr>
        <w:t xml:space="preserve">   </w:t>
      </w:r>
      <w:r w:rsidRPr="005F18CB">
        <w:rPr>
          <w:sz w:val="24"/>
          <w:szCs w:val="24"/>
        </w:rPr>
        <w:t xml:space="preserve">      Таб</w:t>
      </w:r>
      <w:r>
        <w:rPr>
          <w:sz w:val="24"/>
          <w:szCs w:val="24"/>
        </w:rPr>
        <w:t>лица 10</w:t>
      </w:r>
    </w:p>
    <w:tbl>
      <w:tblPr>
        <w:tblW w:w="8647" w:type="dxa"/>
        <w:tblInd w:w="959"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4961"/>
        <w:gridCol w:w="1843"/>
        <w:gridCol w:w="1843"/>
      </w:tblGrid>
      <w:tr w:rsidR="006A7B80" w:rsidRPr="00CD4AE3" w:rsidTr="007C50D0">
        <w:trPr>
          <w:trHeight w:val="265"/>
        </w:trPr>
        <w:tc>
          <w:tcPr>
            <w:tcW w:w="8647" w:type="dxa"/>
            <w:gridSpan w:val="3"/>
            <w:tcBorders>
              <w:top w:val="double" w:sz="4" w:space="0" w:color="auto"/>
              <w:bottom w:val="single" w:sz="4" w:space="0" w:color="auto"/>
            </w:tcBorders>
            <w:shd w:val="clear" w:color="auto" w:fill="auto"/>
            <w:vAlign w:val="center"/>
          </w:tcPr>
          <w:p w:rsidR="006A7B80" w:rsidRPr="00CD4AE3" w:rsidRDefault="006A7B80" w:rsidP="008619A6">
            <w:pPr>
              <w:contextualSpacing/>
              <w:jc w:val="center"/>
              <w:rPr>
                <w:b/>
                <w:sz w:val="24"/>
                <w:szCs w:val="24"/>
              </w:rPr>
            </w:pPr>
            <w:r>
              <w:rPr>
                <w:b/>
                <w:sz w:val="24"/>
                <w:szCs w:val="24"/>
              </w:rPr>
              <w:t>Результаты рассмотрения административных дел в апелляционном порядке</w:t>
            </w:r>
          </w:p>
        </w:tc>
      </w:tr>
      <w:tr w:rsidR="006A7B80" w:rsidRPr="00CD4AE3" w:rsidTr="007C50D0">
        <w:trPr>
          <w:trHeight w:val="66"/>
        </w:trPr>
        <w:tc>
          <w:tcPr>
            <w:tcW w:w="4961" w:type="dxa"/>
            <w:tcBorders>
              <w:top w:val="single" w:sz="4" w:space="0" w:color="auto"/>
              <w:bottom w:val="thickThinLargeGap" w:sz="24" w:space="0" w:color="auto"/>
            </w:tcBorders>
            <w:shd w:val="clear" w:color="auto" w:fill="auto"/>
            <w:vAlign w:val="center"/>
          </w:tcPr>
          <w:p w:rsidR="006A7B80" w:rsidRPr="00CD4AE3" w:rsidRDefault="006A7B80" w:rsidP="008619A6">
            <w:pPr>
              <w:contextualSpacing/>
              <w:jc w:val="center"/>
              <w:rPr>
                <w:sz w:val="24"/>
                <w:szCs w:val="24"/>
              </w:rPr>
            </w:pPr>
          </w:p>
        </w:tc>
        <w:tc>
          <w:tcPr>
            <w:tcW w:w="1843" w:type="dxa"/>
            <w:tcBorders>
              <w:top w:val="single" w:sz="4" w:space="0" w:color="auto"/>
              <w:bottom w:val="thickThinLargeGap" w:sz="24" w:space="0" w:color="auto"/>
            </w:tcBorders>
            <w:shd w:val="clear" w:color="auto" w:fill="auto"/>
            <w:vAlign w:val="center"/>
          </w:tcPr>
          <w:p w:rsidR="006A7B80" w:rsidRPr="00CD4AE3" w:rsidRDefault="006A7B80" w:rsidP="008619A6">
            <w:pPr>
              <w:contextualSpacing/>
              <w:jc w:val="center"/>
              <w:rPr>
                <w:b/>
                <w:sz w:val="24"/>
                <w:szCs w:val="24"/>
              </w:rPr>
            </w:pPr>
            <w:r>
              <w:rPr>
                <w:b/>
                <w:sz w:val="24"/>
                <w:szCs w:val="24"/>
              </w:rPr>
              <w:t>2016</w:t>
            </w:r>
          </w:p>
        </w:tc>
        <w:tc>
          <w:tcPr>
            <w:tcW w:w="1843" w:type="dxa"/>
            <w:tcBorders>
              <w:top w:val="single" w:sz="4" w:space="0" w:color="auto"/>
              <w:bottom w:val="thickThinLargeGap" w:sz="24" w:space="0" w:color="auto"/>
            </w:tcBorders>
            <w:shd w:val="clear" w:color="auto" w:fill="auto"/>
            <w:vAlign w:val="center"/>
          </w:tcPr>
          <w:p w:rsidR="006A7B80" w:rsidRPr="00CD4AE3" w:rsidRDefault="006A7B80" w:rsidP="008619A6">
            <w:pPr>
              <w:contextualSpacing/>
              <w:jc w:val="center"/>
              <w:rPr>
                <w:b/>
                <w:sz w:val="24"/>
                <w:szCs w:val="24"/>
              </w:rPr>
            </w:pPr>
            <w:r>
              <w:rPr>
                <w:b/>
                <w:sz w:val="24"/>
                <w:szCs w:val="24"/>
              </w:rPr>
              <w:t>2017</w:t>
            </w:r>
          </w:p>
        </w:tc>
      </w:tr>
      <w:tr w:rsidR="006A7B80" w:rsidRPr="00CD4AE3" w:rsidTr="007C50D0">
        <w:trPr>
          <w:trHeight w:val="157"/>
        </w:trPr>
        <w:tc>
          <w:tcPr>
            <w:tcW w:w="4961" w:type="dxa"/>
            <w:tcBorders>
              <w:top w:val="thickThinLargeGap" w:sz="24" w:space="0" w:color="auto"/>
            </w:tcBorders>
            <w:vAlign w:val="center"/>
          </w:tcPr>
          <w:p w:rsidR="006A7B80" w:rsidRPr="00240969" w:rsidRDefault="006A7B80" w:rsidP="008619A6">
            <w:pPr>
              <w:contextualSpacing/>
              <w:jc w:val="center"/>
              <w:rPr>
                <w:b/>
                <w:sz w:val="24"/>
                <w:szCs w:val="24"/>
                <w:lang w:val="en-US"/>
              </w:rPr>
            </w:pPr>
            <w:r>
              <w:rPr>
                <w:b/>
                <w:sz w:val="24"/>
                <w:szCs w:val="24"/>
              </w:rPr>
              <w:t>Количество оконченных производством дел</w:t>
            </w:r>
          </w:p>
        </w:tc>
        <w:tc>
          <w:tcPr>
            <w:tcW w:w="1843" w:type="dxa"/>
            <w:tcBorders>
              <w:top w:val="thickThinLargeGap" w:sz="24" w:space="0" w:color="auto"/>
            </w:tcBorders>
            <w:vAlign w:val="center"/>
          </w:tcPr>
          <w:p w:rsidR="006A7B80" w:rsidRPr="00240969" w:rsidRDefault="006A7B80" w:rsidP="008619A6">
            <w:pPr>
              <w:contextualSpacing/>
              <w:jc w:val="center"/>
              <w:rPr>
                <w:i/>
                <w:iCs/>
                <w:sz w:val="24"/>
                <w:szCs w:val="24"/>
              </w:rPr>
            </w:pPr>
            <w:r>
              <w:rPr>
                <w:i/>
                <w:iCs/>
                <w:sz w:val="24"/>
                <w:szCs w:val="24"/>
              </w:rPr>
              <w:t>2887</w:t>
            </w:r>
          </w:p>
        </w:tc>
        <w:tc>
          <w:tcPr>
            <w:tcW w:w="1843" w:type="dxa"/>
            <w:tcBorders>
              <w:top w:val="thickThinLargeGap" w:sz="24" w:space="0" w:color="auto"/>
            </w:tcBorders>
            <w:vAlign w:val="center"/>
          </w:tcPr>
          <w:p w:rsidR="006A7B80" w:rsidRPr="00CA0394" w:rsidRDefault="006A7B80" w:rsidP="008619A6">
            <w:pPr>
              <w:contextualSpacing/>
              <w:jc w:val="center"/>
              <w:rPr>
                <w:i/>
                <w:iCs/>
                <w:sz w:val="24"/>
                <w:szCs w:val="24"/>
              </w:rPr>
            </w:pPr>
            <w:r>
              <w:rPr>
                <w:i/>
                <w:iCs/>
                <w:sz w:val="24"/>
                <w:szCs w:val="24"/>
              </w:rPr>
              <w:t>2127</w:t>
            </w:r>
          </w:p>
        </w:tc>
      </w:tr>
      <w:tr w:rsidR="006A7B80" w:rsidRPr="00CD4AE3" w:rsidTr="007C50D0">
        <w:trPr>
          <w:trHeight w:val="163"/>
        </w:trPr>
        <w:tc>
          <w:tcPr>
            <w:tcW w:w="4961" w:type="dxa"/>
            <w:vAlign w:val="center"/>
          </w:tcPr>
          <w:p w:rsidR="006A7B80" w:rsidRPr="00970AF9" w:rsidRDefault="006A7B80" w:rsidP="008619A6">
            <w:pPr>
              <w:contextualSpacing/>
              <w:jc w:val="center"/>
              <w:rPr>
                <w:b/>
                <w:sz w:val="24"/>
                <w:szCs w:val="24"/>
              </w:rPr>
            </w:pPr>
            <w:r>
              <w:rPr>
                <w:b/>
                <w:sz w:val="24"/>
                <w:szCs w:val="24"/>
              </w:rPr>
              <w:t>Решений оставлено без изменения</w:t>
            </w:r>
          </w:p>
        </w:tc>
        <w:tc>
          <w:tcPr>
            <w:tcW w:w="1843" w:type="dxa"/>
            <w:vAlign w:val="center"/>
          </w:tcPr>
          <w:p w:rsidR="006A7B80" w:rsidRPr="00240969" w:rsidRDefault="006A7B80" w:rsidP="008619A6">
            <w:pPr>
              <w:contextualSpacing/>
              <w:jc w:val="center"/>
              <w:rPr>
                <w:i/>
                <w:iCs/>
                <w:sz w:val="24"/>
                <w:szCs w:val="24"/>
              </w:rPr>
            </w:pPr>
            <w:r>
              <w:rPr>
                <w:i/>
                <w:iCs/>
                <w:sz w:val="24"/>
                <w:szCs w:val="24"/>
              </w:rPr>
              <w:t>1845</w:t>
            </w:r>
          </w:p>
        </w:tc>
        <w:tc>
          <w:tcPr>
            <w:tcW w:w="1843" w:type="dxa"/>
            <w:vAlign w:val="center"/>
          </w:tcPr>
          <w:p w:rsidR="006A7B80" w:rsidRPr="00CA0394" w:rsidRDefault="006A7B80" w:rsidP="008619A6">
            <w:pPr>
              <w:contextualSpacing/>
              <w:jc w:val="center"/>
              <w:rPr>
                <w:i/>
                <w:iCs/>
                <w:sz w:val="24"/>
                <w:szCs w:val="24"/>
              </w:rPr>
            </w:pPr>
            <w:r>
              <w:rPr>
                <w:i/>
                <w:iCs/>
                <w:sz w:val="24"/>
                <w:szCs w:val="24"/>
              </w:rPr>
              <w:t>1510</w:t>
            </w:r>
          </w:p>
        </w:tc>
      </w:tr>
      <w:tr w:rsidR="006A7B80" w:rsidRPr="00CD4AE3" w:rsidTr="007C50D0">
        <w:trPr>
          <w:trHeight w:val="163"/>
        </w:trPr>
        <w:tc>
          <w:tcPr>
            <w:tcW w:w="4961" w:type="dxa"/>
            <w:vAlign w:val="center"/>
          </w:tcPr>
          <w:p w:rsidR="006A7B80" w:rsidRPr="00240969" w:rsidRDefault="006A7B80" w:rsidP="008619A6">
            <w:pPr>
              <w:contextualSpacing/>
              <w:jc w:val="center"/>
              <w:rPr>
                <w:b/>
                <w:sz w:val="24"/>
                <w:szCs w:val="24"/>
              </w:rPr>
            </w:pPr>
            <w:r>
              <w:rPr>
                <w:b/>
                <w:sz w:val="24"/>
                <w:szCs w:val="24"/>
              </w:rPr>
              <w:t>Решений отменено</w:t>
            </w:r>
          </w:p>
        </w:tc>
        <w:tc>
          <w:tcPr>
            <w:tcW w:w="1843" w:type="dxa"/>
            <w:vAlign w:val="center"/>
          </w:tcPr>
          <w:p w:rsidR="006A7B80" w:rsidRPr="00240969" w:rsidRDefault="006A7B80" w:rsidP="008619A6">
            <w:pPr>
              <w:contextualSpacing/>
              <w:jc w:val="center"/>
              <w:rPr>
                <w:i/>
                <w:iCs/>
                <w:sz w:val="24"/>
                <w:szCs w:val="24"/>
              </w:rPr>
            </w:pPr>
            <w:r>
              <w:rPr>
                <w:i/>
                <w:iCs/>
                <w:sz w:val="24"/>
                <w:szCs w:val="24"/>
              </w:rPr>
              <w:t>341</w:t>
            </w:r>
          </w:p>
        </w:tc>
        <w:tc>
          <w:tcPr>
            <w:tcW w:w="1843" w:type="dxa"/>
            <w:vAlign w:val="center"/>
          </w:tcPr>
          <w:p w:rsidR="006A7B80" w:rsidRPr="00CA0394" w:rsidRDefault="006A7B80" w:rsidP="008619A6">
            <w:pPr>
              <w:contextualSpacing/>
              <w:jc w:val="center"/>
              <w:rPr>
                <w:i/>
                <w:iCs/>
                <w:sz w:val="24"/>
                <w:szCs w:val="24"/>
              </w:rPr>
            </w:pPr>
            <w:r>
              <w:rPr>
                <w:i/>
                <w:iCs/>
                <w:sz w:val="24"/>
                <w:szCs w:val="24"/>
              </w:rPr>
              <w:t>343</w:t>
            </w:r>
          </w:p>
        </w:tc>
      </w:tr>
      <w:tr w:rsidR="006A7B80" w:rsidRPr="00CD4AE3" w:rsidTr="007C50D0">
        <w:trPr>
          <w:trHeight w:val="163"/>
        </w:trPr>
        <w:tc>
          <w:tcPr>
            <w:tcW w:w="4961" w:type="dxa"/>
            <w:vAlign w:val="center"/>
          </w:tcPr>
          <w:p w:rsidR="006A7B80" w:rsidRPr="00240969" w:rsidRDefault="006A7B80" w:rsidP="008619A6">
            <w:pPr>
              <w:contextualSpacing/>
              <w:jc w:val="center"/>
              <w:rPr>
                <w:b/>
                <w:sz w:val="24"/>
                <w:szCs w:val="24"/>
              </w:rPr>
            </w:pPr>
            <w:r>
              <w:rPr>
                <w:b/>
                <w:sz w:val="24"/>
                <w:szCs w:val="24"/>
              </w:rPr>
              <w:t>Решений изменено</w:t>
            </w:r>
          </w:p>
        </w:tc>
        <w:tc>
          <w:tcPr>
            <w:tcW w:w="1843" w:type="dxa"/>
            <w:vAlign w:val="center"/>
          </w:tcPr>
          <w:p w:rsidR="006A7B80" w:rsidRPr="00240969" w:rsidRDefault="006A7B80" w:rsidP="008619A6">
            <w:pPr>
              <w:contextualSpacing/>
              <w:jc w:val="center"/>
              <w:rPr>
                <w:i/>
                <w:iCs/>
                <w:sz w:val="24"/>
                <w:szCs w:val="24"/>
              </w:rPr>
            </w:pPr>
            <w:r>
              <w:rPr>
                <w:i/>
                <w:iCs/>
                <w:sz w:val="24"/>
                <w:szCs w:val="24"/>
              </w:rPr>
              <w:t>8</w:t>
            </w:r>
          </w:p>
        </w:tc>
        <w:tc>
          <w:tcPr>
            <w:tcW w:w="1843" w:type="dxa"/>
            <w:vAlign w:val="center"/>
          </w:tcPr>
          <w:p w:rsidR="006A7B80" w:rsidRPr="00CA0394" w:rsidRDefault="006A7B80" w:rsidP="008619A6">
            <w:pPr>
              <w:contextualSpacing/>
              <w:jc w:val="center"/>
              <w:rPr>
                <w:i/>
                <w:iCs/>
                <w:sz w:val="24"/>
                <w:szCs w:val="24"/>
              </w:rPr>
            </w:pPr>
            <w:r>
              <w:rPr>
                <w:i/>
                <w:iCs/>
                <w:sz w:val="24"/>
                <w:szCs w:val="24"/>
              </w:rPr>
              <w:t>6</w:t>
            </w:r>
          </w:p>
        </w:tc>
      </w:tr>
    </w:tbl>
    <w:p w:rsidR="00DF4F49" w:rsidRDefault="00DF4F49" w:rsidP="008619A6">
      <w:pPr>
        <w:ind w:firstLine="900"/>
        <w:contextualSpacing/>
        <w:jc w:val="both"/>
        <w:rPr>
          <w:sz w:val="28"/>
          <w:szCs w:val="28"/>
        </w:rPr>
      </w:pPr>
    </w:p>
    <w:p w:rsidR="006A7B80" w:rsidRDefault="006A7B80" w:rsidP="008619A6">
      <w:pPr>
        <w:ind w:firstLine="900"/>
        <w:contextualSpacing/>
        <w:jc w:val="both"/>
        <w:rPr>
          <w:sz w:val="28"/>
          <w:szCs w:val="28"/>
        </w:rPr>
      </w:pPr>
      <w:r>
        <w:rPr>
          <w:sz w:val="28"/>
          <w:szCs w:val="28"/>
        </w:rPr>
        <w:t xml:space="preserve">Жалобы и представления подаются в большинстве случаев по </w:t>
      </w:r>
      <w:r w:rsidR="00DF4F49">
        <w:rPr>
          <w:sz w:val="28"/>
          <w:szCs w:val="28"/>
        </w:rPr>
        <w:t>следующим</w:t>
      </w:r>
      <w:r>
        <w:rPr>
          <w:sz w:val="28"/>
          <w:szCs w:val="28"/>
        </w:rPr>
        <w:t xml:space="preserve"> категориям административных дел:</w:t>
      </w:r>
    </w:p>
    <w:p w:rsidR="00DF4F49" w:rsidRPr="00DF4F49" w:rsidRDefault="00DF4F49" w:rsidP="00335DC8">
      <w:pPr>
        <w:pStyle w:val="ab"/>
        <w:numPr>
          <w:ilvl w:val="0"/>
          <w:numId w:val="7"/>
        </w:numPr>
        <w:ind w:left="1134" w:hanging="283"/>
        <w:jc w:val="both"/>
        <w:rPr>
          <w:sz w:val="28"/>
          <w:szCs w:val="28"/>
        </w:rPr>
      </w:pPr>
      <w:r w:rsidRPr="00DF4F49">
        <w:rPr>
          <w:sz w:val="28"/>
          <w:szCs w:val="28"/>
        </w:rPr>
        <w:t>жалобы на неправомерные действия (бездействие) должностных лиц, государственных и муниципальных служащих; органов государственной власти и местного самоуправления (Глава 22 КАС РФ), что составляет 66 % от общего числа поступивших жалоб;</w:t>
      </w:r>
    </w:p>
    <w:p w:rsidR="00DF4F49" w:rsidRPr="00DF4F49" w:rsidRDefault="00DF4F49" w:rsidP="00335DC8">
      <w:pPr>
        <w:pStyle w:val="ab"/>
        <w:numPr>
          <w:ilvl w:val="0"/>
          <w:numId w:val="7"/>
        </w:numPr>
        <w:ind w:left="1134" w:hanging="283"/>
        <w:jc w:val="both"/>
        <w:rPr>
          <w:sz w:val="28"/>
          <w:szCs w:val="28"/>
        </w:rPr>
      </w:pPr>
      <w:r w:rsidRPr="00DF4F49">
        <w:rPr>
          <w:sz w:val="28"/>
          <w:szCs w:val="28"/>
        </w:rPr>
        <w:t>о взыскании обязательных платежей и санкций (Глава 32 КАС РФ) – 8%;</w:t>
      </w:r>
    </w:p>
    <w:p w:rsidR="00DF4F49" w:rsidRPr="00DF4F49" w:rsidRDefault="00DF4F49" w:rsidP="00335DC8">
      <w:pPr>
        <w:pStyle w:val="ab"/>
        <w:numPr>
          <w:ilvl w:val="0"/>
          <w:numId w:val="7"/>
        </w:numPr>
        <w:ind w:left="1134" w:hanging="283"/>
        <w:jc w:val="both"/>
        <w:rPr>
          <w:sz w:val="28"/>
          <w:szCs w:val="28"/>
        </w:rPr>
      </w:pPr>
      <w:r w:rsidRPr="00DF4F49">
        <w:rPr>
          <w:sz w:val="28"/>
          <w:szCs w:val="28"/>
        </w:rPr>
        <w:t>об установлении административного надзора (Глава 29 КАС РФ) -7%;</w:t>
      </w:r>
    </w:p>
    <w:p w:rsidR="00DF4F49" w:rsidRPr="00DF4F49" w:rsidRDefault="00DF4F49" w:rsidP="00335DC8">
      <w:pPr>
        <w:pStyle w:val="ab"/>
        <w:numPr>
          <w:ilvl w:val="0"/>
          <w:numId w:val="7"/>
        </w:numPr>
        <w:ind w:left="1134" w:hanging="283"/>
        <w:jc w:val="both"/>
        <w:rPr>
          <w:sz w:val="28"/>
          <w:szCs w:val="28"/>
        </w:rPr>
      </w:pPr>
      <w:r w:rsidRPr="00DF4F49">
        <w:rPr>
          <w:sz w:val="28"/>
          <w:szCs w:val="28"/>
        </w:rPr>
        <w:t>об оспаривании результатов кадастровой стоимости объектов недвижимости (Глава 25 КАС РФ) – 6%.</w:t>
      </w:r>
    </w:p>
    <w:p w:rsidR="00DF4F49" w:rsidRDefault="00DF4F49" w:rsidP="008619A6">
      <w:pPr>
        <w:ind w:firstLine="900"/>
        <w:contextualSpacing/>
        <w:jc w:val="both"/>
        <w:rPr>
          <w:sz w:val="28"/>
          <w:szCs w:val="28"/>
        </w:rPr>
      </w:pPr>
    </w:p>
    <w:p w:rsidR="006A7B80" w:rsidRPr="00E267EE" w:rsidRDefault="006A7B80" w:rsidP="008619A6">
      <w:pPr>
        <w:ind w:firstLine="900"/>
        <w:contextualSpacing/>
        <w:jc w:val="both"/>
        <w:rPr>
          <w:sz w:val="28"/>
          <w:szCs w:val="28"/>
        </w:rPr>
      </w:pPr>
      <w:r w:rsidRPr="00E267EE">
        <w:rPr>
          <w:sz w:val="28"/>
          <w:szCs w:val="28"/>
        </w:rPr>
        <w:t>Анализ работы коллегии по рассмотрению дел об административных правонарушениях в 2017 году показал, что по сравнению с 2016 годом колич</w:t>
      </w:r>
      <w:r w:rsidRPr="00E267EE">
        <w:rPr>
          <w:sz w:val="28"/>
          <w:szCs w:val="28"/>
        </w:rPr>
        <w:t>е</w:t>
      </w:r>
      <w:r w:rsidRPr="00E267EE">
        <w:rPr>
          <w:sz w:val="28"/>
          <w:szCs w:val="28"/>
        </w:rPr>
        <w:t>ство поступивших жалоб и протестов на не вступившие в законную силу определения, постановления судей и их решения по жалобам на пост</w:t>
      </w:r>
      <w:r w:rsidRPr="00E267EE">
        <w:rPr>
          <w:sz w:val="28"/>
          <w:szCs w:val="28"/>
        </w:rPr>
        <w:t>а</w:t>
      </w:r>
      <w:r w:rsidRPr="00E267EE">
        <w:rPr>
          <w:sz w:val="28"/>
          <w:szCs w:val="28"/>
        </w:rPr>
        <w:t>новления по делам об административных правонарушениях, вынесенные должностными л</w:t>
      </w:r>
      <w:r w:rsidRPr="00E267EE">
        <w:rPr>
          <w:sz w:val="28"/>
          <w:szCs w:val="28"/>
        </w:rPr>
        <w:t>и</w:t>
      </w:r>
      <w:r w:rsidRPr="00E267EE">
        <w:rPr>
          <w:sz w:val="28"/>
          <w:szCs w:val="28"/>
        </w:rPr>
        <w:t>цами, несколько снизилось.</w:t>
      </w:r>
    </w:p>
    <w:p w:rsidR="006A7B80" w:rsidRDefault="006A7B80" w:rsidP="008619A6">
      <w:pPr>
        <w:ind w:firstLine="900"/>
        <w:contextualSpacing/>
        <w:jc w:val="both"/>
        <w:rPr>
          <w:sz w:val="28"/>
          <w:szCs w:val="28"/>
        </w:rPr>
      </w:pPr>
      <w:r w:rsidRPr="00E267EE">
        <w:rPr>
          <w:sz w:val="28"/>
          <w:szCs w:val="28"/>
        </w:rPr>
        <w:t>В порядке, установленном статьями 30.7-30.9 КоАП РФ, в Верховный Суд Республики Татарстан обжаловано и опротестовано в 2017 году 4567 п</w:t>
      </w:r>
      <w:r w:rsidRPr="00E267EE">
        <w:rPr>
          <w:sz w:val="28"/>
          <w:szCs w:val="28"/>
        </w:rPr>
        <w:t>о</w:t>
      </w:r>
      <w:r w:rsidRPr="00E267EE">
        <w:rPr>
          <w:sz w:val="28"/>
          <w:szCs w:val="28"/>
        </w:rPr>
        <w:t>становлений и решений. Из них отменено или изменено 802 акта, что составл</w:t>
      </w:r>
      <w:r w:rsidRPr="00E267EE">
        <w:rPr>
          <w:sz w:val="28"/>
          <w:szCs w:val="28"/>
        </w:rPr>
        <w:t>я</w:t>
      </w:r>
      <w:r w:rsidRPr="00E267EE">
        <w:rPr>
          <w:sz w:val="28"/>
          <w:szCs w:val="28"/>
        </w:rPr>
        <w:t xml:space="preserve">ет 17,6 %. </w:t>
      </w:r>
    </w:p>
    <w:p w:rsidR="006A7B80" w:rsidRPr="00F077A1" w:rsidRDefault="006A7B80" w:rsidP="008619A6">
      <w:pPr>
        <w:ind w:firstLine="900"/>
        <w:contextualSpacing/>
        <w:jc w:val="center"/>
        <w:rPr>
          <w:sz w:val="24"/>
          <w:szCs w:val="24"/>
        </w:rPr>
      </w:pPr>
      <w:r w:rsidRPr="005F18CB">
        <w:rPr>
          <w:sz w:val="24"/>
          <w:szCs w:val="24"/>
        </w:rPr>
        <w:lastRenderedPageBreak/>
        <w:t xml:space="preserve">                                                                         </w:t>
      </w:r>
      <w:r>
        <w:rPr>
          <w:sz w:val="24"/>
          <w:szCs w:val="24"/>
        </w:rPr>
        <w:t xml:space="preserve">                               </w:t>
      </w:r>
      <w:r w:rsidRPr="005F18CB">
        <w:rPr>
          <w:sz w:val="24"/>
          <w:szCs w:val="24"/>
        </w:rPr>
        <w:t xml:space="preserve">      </w:t>
      </w:r>
      <w:r>
        <w:rPr>
          <w:sz w:val="24"/>
          <w:szCs w:val="24"/>
        </w:rPr>
        <w:t xml:space="preserve">   </w:t>
      </w:r>
      <w:r w:rsidRPr="005F18CB">
        <w:rPr>
          <w:sz w:val="24"/>
          <w:szCs w:val="24"/>
        </w:rPr>
        <w:t xml:space="preserve">   </w:t>
      </w:r>
      <w:r>
        <w:rPr>
          <w:sz w:val="24"/>
          <w:szCs w:val="24"/>
        </w:rPr>
        <w:t>Диаграмма 12</w:t>
      </w:r>
    </w:p>
    <w:p w:rsidR="006A7B80" w:rsidRPr="00E267EE" w:rsidRDefault="006A7B80" w:rsidP="008619A6">
      <w:pPr>
        <w:ind w:firstLine="900"/>
        <w:contextualSpacing/>
        <w:jc w:val="both"/>
        <w:rPr>
          <w:sz w:val="28"/>
          <w:szCs w:val="28"/>
        </w:rPr>
      </w:pPr>
      <w:r>
        <w:rPr>
          <w:noProof/>
        </w:rPr>
        <w:drawing>
          <wp:inline distT="0" distB="0" distL="0" distR="0" wp14:anchorId="50870A6F" wp14:editId="67A819D1">
            <wp:extent cx="4786183" cy="2479590"/>
            <wp:effectExtent l="0" t="0" r="14605" b="1651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A7B80" w:rsidRDefault="006A7B80" w:rsidP="008619A6">
      <w:pPr>
        <w:ind w:firstLine="900"/>
        <w:contextualSpacing/>
        <w:jc w:val="both"/>
        <w:rPr>
          <w:sz w:val="28"/>
          <w:szCs w:val="28"/>
        </w:rPr>
      </w:pPr>
      <w:r w:rsidRPr="00EB0E39">
        <w:rPr>
          <w:sz w:val="28"/>
          <w:szCs w:val="28"/>
          <w:u w:val="single"/>
        </w:rPr>
        <w:t>Кассационная инстанция</w:t>
      </w:r>
      <w:r w:rsidR="005958F4">
        <w:rPr>
          <w:sz w:val="28"/>
          <w:szCs w:val="28"/>
          <w:u w:val="single"/>
        </w:rPr>
        <w:t xml:space="preserve">. </w:t>
      </w:r>
      <w:r w:rsidRPr="00793150">
        <w:rPr>
          <w:sz w:val="28"/>
          <w:szCs w:val="28"/>
        </w:rPr>
        <w:t>За 2017 год в президиум Верховного Суда Республики Татарстан на р</w:t>
      </w:r>
      <w:r w:rsidRPr="00793150">
        <w:rPr>
          <w:sz w:val="28"/>
          <w:szCs w:val="28"/>
        </w:rPr>
        <w:t>е</w:t>
      </w:r>
      <w:r w:rsidRPr="00793150">
        <w:rPr>
          <w:sz w:val="28"/>
          <w:szCs w:val="28"/>
        </w:rPr>
        <w:t xml:space="preserve">шения и определения по административным делам поступило 339 жалоб и представлений, в 2016 году этот показатель был выше на 5,6 % </w:t>
      </w:r>
      <w:r>
        <w:rPr>
          <w:sz w:val="28"/>
          <w:szCs w:val="28"/>
        </w:rPr>
        <w:t>(</w:t>
      </w:r>
      <w:r w:rsidRPr="00793150">
        <w:rPr>
          <w:sz w:val="28"/>
          <w:szCs w:val="28"/>
        </w:rPr>
        <w:t>359</w:t>
      </w:r>
      <w:r>
        <w:rPr>
          <w:sz w:val="28"/>
          <w:szCs w:val="28"/>
        </w:rPr>
        <w:t xml:space="preserve"> </w:t>
      </w:r>
      <w:r w:rsidRPr="006C79CC">
        <w:rPr>
          <w:sz w:val="28"/>
          <w:szCs w:val="28"/>
        </w:rPr>
        <w:t>жалоб и представлений</w:t>
      </w:r>
      <w:r>
        <w:rPr>
          <w:sz w:val="28"/>
          <w:szCs w:val="28"/>
        </w:rPr>
        <w:t>)</w:t>
      </w:r>
      <w:r w:rsidRPr="00793150">
        <w:rPr>
          <w:sz w:val="28"/>
          <w:szCs w:val="28"/>
        </w:rPr>
        <w:t>. Из числа поступивших дел изучено 19 административных дел, истребованных по касс</w:t>
      </w:r>
      <w:r w:rsidRPr="00793150">
        <w:rPr>
          <w:sz w:val="28"/>
          <w:szCs w:val="28"/>
        </w:rPr>
        <w:t>а</w:t>
      </w:r>
      <w:r w:rsidRPr="00793150">
        <w:rPr>
          <w:sz w:val="28"/>
          <w:szCs w:val="28"/>
        </w:rPr>
        <w:t>ционным жалобам и представлениям, передано в суд кассационной и</w:t>
      </w:r>
      <w:r w:rsidRPr="00793150">
        <w:rPr>
          <w:sz w:val="28"/>
          <w:szCs w:val="28"/>
        </w:rPr>
        <w:t>н</w:t>
      </w:r>
      <w:r w:rsidRPr="00793150">
        <w:rPr>
          <w:sz w:val="28"/>
          <w:szCs w:val="28"/>
        </w:rPr>
        <w:t>станции – 6 (из них отклонено – 2).</w:t>
      </w:r>
    </w:p>
    <w:p w:rsidR="006A7B80" w:rsidRDefault="006A7B80" w:rsidP="008619A6">
      <w:pPr>
        <w:ind w:firstLine="900"/>
        <w:contextualSpacing/>
        <w:jc w:val="both"/>
        <w:rPr>
          <w:sz w:val="28"/>
          <w:szCs w:val="28"/>
        </w:rPr>
      </w:pPr>
      <w:r w:rsidRPr="00015AB4">
        <w:rPr>
          <w:sz w:val="28"/>
          <w:szCs w:val="28"/>
        </w:rPr>
        <w:t>В порядке Кодекса Российской Федерации об административных пр</w:t>
      </w:r>
      <w:r w:rsidRPr="00015AB4">
        <w:rPr>
          <w:sz w:val="28"/>
          <w:szCs w:val="28"/>
        </w:rPr>
        <w:t>а</w:t>
      </w:r>
      <w:r w:rsidRPr="00015AB4">
        <w:rPr>
          <w:sz w:val="28"/>
          <w:szCs w:val="28"/>
        </w:rPr>
        <w:t>вонарушениях рассмотрено в 2017 году 1849 жалоб и протестов на вступившие в законную силу постановления и решения по делам об административных пр</w:t>
      </w:r>
      <w:r w:rsidRPr="00015AB4">
        <w:rPr>
          <w:sz w:val="28"/>
          <w:szCs w:val="28"/>
        </w:rPr>
        <w:t>а</w:t>
      </w:r>
      <w:r w:rsidRPr="00015AB4">
        <w:rPr>
          <w:sz w:val="28"/>
          <w:szCs w:val="28"/>
        </w:rPr>
        <w:t>вонарушениях</w:t>
      </w:r>
      <w:r>
        <w:rPr>
          <w:sz w:val="28"/>
          <w:szCs w:val="28"/>
        </w:rPr>
        <w:t>.</w:t>
      </w:r>
    </w:p>
    <w:p w:rsidR="006A7B80" w:rsidRDefault="006A7B80" w:rsidP="008619A6">
      <w:pPr>
        <w:ind w:firstLine="900"/>
        <w:contextualSpacing/>
        <w:jc w:val="both"/>
        <w:rPr>
          <w:sz w:val="28"/>
          <w:szCs w:val="28"/>
        </w:rPr>
      </w:pPr>
      <w:r>
        <w:rPr>
          <w:sz w:val="28"/>
          <w:szCs w:val="28"/>
        </w:rPr>
        <w:t>Диаграмма 1</w:t>
      </w:r>
      <w:r w:rsidR="00675363">
        <w:rPr>
          <w:sz w:val="28"/>
          <w:szCs w:val="28"/>
        </w:rPr>
        <w:t>3</w:t>
      </w:r>
      <w:r>
        <w:rPr>
          <w:sz w:val="28"/>
          <w:szCs w:val="28"/>
        </w:rPr>
        <w:t xml:space="preserve"> наглядно отображает тенденцию увеличения количества</w:t>
      </w:r>
      <w:r w:rsidR="00675363">
        <w:rPr>
          <w:sz w:val="28"/>
          <w:szCs w:val="28"/>
        </w:rPr>
        <w:t xml:space="preserve"> как</w:t>
      </w:r>
      <w:r>
        <w:rPr>
          <w:sz w:val="28"/>
          <w:szCs w:val="28"/>
        </w:rPr>
        <w:t xml:space="preserve"> поступивших</w:t>
      </w:r>
      <w:r w:rsidR="00675363">
        <w:rPr>
          <w:sz w:val="28"/>
          <w:szCs w:val="28"/>
        </w:rPr>
        <w:t>, так и оконченных</w:t>
      </w:r>
      <w:r>
        <w:rPr>
          <w:sz w:val="28"/>
          <w:szCs w:val="28"/>
        </w:rPr>
        <w:t xml:space="preserve"> дел.</w:t>
      </w:r>
    </w:p>
    <w:p w:rsidR="006A7B80" w:rsidRPr="00BF7B76" w:rsidRDefault="006A7B80" w:rsidP="008619A6">
      <w:pPr>
        <w:ind w:firstLine="900"/>
        <w:contextualSpacing/>
        <w:jc w:val="center"/>
        <w:rPr>
          <w:sz w:val="24"/>
          <w:szCs w:val="24"/>
        </w:rPr>
      </w:pPr>
      <w:r w:rsidRPr="005F18CB">
        <w:rPr>
          <w:sz w:val="24"/>
          <w:szCs w:val="24"/>
        </w:rPr>
        <w:t xml:space="preserve">                                                                        </w:t>
      </w:r>
      <w:r>
        <w:rPr>
          <w:sz w:val="24"/>
          <w:szCs w:val="24"/>
        </w:rPr>
        <w:t xml:space="preserve">                               </w:t>
      </w:r>
      <w:r w:rsidRPr="005F18CB">
        <w:rPr>
          <w:sz w:val="24"/>
          <w:szCs w:val="24"/>
        </w:rPr>
        <w:t xml:space="preserve">      </w:t>
      </w:r>
      <w:r>
        <w:rPr>
          <w:sz w:val="24"/>
          <w:szCs w:val="24"/>
        </w:rPr>
        <w:t xml:space="preserve">   </w:t>
      </w:r>
      <w:r w:rsidRPr="005F18CB">
        <w:rPr>
          <w:sz w:val="24"/>
          <w:szCs w:val="24"/>
        </w:rPr>
        <w:t xml:space="preserve">   </w:t>
      </w:r>
      <w:r>
        <w:rPr>
          <w:sz w:val="24"/>
          <w:szCs w:val="24"/>
        </w:rPr>
        <w:t>Диаграмма 1</w:t>
      </w:r>
      <w:r w:rsidR="00DF4F49">
        <w:rPr>
          <w:sz w:val="24"/>
          <w:szCs w:val="24"/>
        </w:rPr>
        <w:t>3</w:t>
      </w:r>
    </w:p>
    <w:p w:rsidR="006A7B80" w:rsidRPr="00793150" w:rsidRDefault="006A7B80" w:rsidP="008619A6">
      <w:pPr>
        <w:ind w:firstLine="900"/>
        <w:contextualSpacing/>
        <w:jc w:val="both"/>
        <w:rPr>
          <w:sz w:val="28"/>
          <w:szCs w:val="28"/>
          <w:u w:val="single"/>
        </w:rPr>
      </w:pPr>
      <w:r>
        <w:rPr>
          <w:noProof/>
        </w:rPr>
        <w:drawing>
          <wp:inline distT="0" distB="0" distL="0" distR="0" wp14:anchorId="36F34A6E" wp14:editId="2E7B4031">
            <wp:extent cx="4934464" cy="2718486"/>
            <wp:effectExtent l="0" t="0" r="0" b="571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C50D0" w:rsidRDefault="007C50D0" w:rsidP="008619A6">
      <w:pPr>
        <w:contextualSpacing/>
      </w:pPr>
    </w:p>
    <w:p w:rsidR="00F46C7B" w:rsidRDefault="00F46C7B" w:rsidP="008619A6">
      <w:pPr>
        <w:contextualSpacing/>
        <w:rPr>
          <w:b/>
          <w:sz w:val="27"/>
          <w:szCs w:val="27"/>
        </w:rPr>
      </w:pPr>
    </w:p>
    <w:p w:rsidR="00F46C7B" w:rsidRDefault="00F46C7B" w:rsidP="008619A6">
      <w:pPr>
        <w:contextualSpacing/>
        <w:rPr>
          <w:b/>
          <w:sz w:val="27"/>
          <w:szCs w:val="27"/>
        </w:rPr>
      </w:pPr>
    </w:p>
    <w:p w:rsidR="00F46C7B" w:rsidRDefault="00F46C7B" w:rsidP="008619A6">
      <w:pPr>
        <w:contextualSpacing/>
        <w:rPr>
          <w:b/>
          <w:sz w:val="27"/>
          <w:szCs w:val="27"/>
        </w:rPr>
      </w:pPr>
    </w:p>
    <w:p w:rsidR="00F46C7B" w:rsidRDefault="00F46C7B" w:rsidP="008619A6">
      <w:pPr>
        <w:contextualSpacing/>
        <w:rPr>
          <w:b/>
          <w:sz w:val="27"/>
          <w:szCs w:val="27"/>
        </w:rPr>
      </w:pPr>
    </w:p>
    <w:p w:rsidR="007C50D0" w:rsidRPr="007C50D0" w:rsidRDefault="007C50D0" w:rsidP="008619A6">
      <w:pPr>
        <w:contextualSpacing/>
        <w:rPr>
          <w:b/>
          <w:sz w:val="27"/>
          <w:szCs w:val="27"/>
        </w:rPr>
      </w:pPr>
      <w:r w:rsidRPr="007C50D0">
        <w:rPr>
          <w:b/>
          <w:sz w:val="27"/>
          <w:szCs w:val="27"/>
        </w:rPr>
        <w:lastRenderedPageBreak/>
        <w:t>2. Анализ деятельности районных (городских) судов Республики Татарстан</w:t>
      </w:r>
    </w:p>
    <w:p w:rsidR="007C50D0" w:rsidRPr="007C50D0" w:rsidRDefault="007C50D0" w:rsidP="008619A6">
      <w:pPr>
        <w:ind w:firstLine="900"/>
        <w:contextualSpacing/>
        <w:jc w:val="both"/>
        <w:rPr>
          <w:sz w:val="28"/>
          <w:szCs w:val="28"/>
          <w:u w:val="single"/>
        </w:rPr>
      </w:pPr>
      <w:r w:rsidRPr="007C50D0">
        <w:rPr>
          <w:sz w:val="28"/>
          <w:szCs w:val="28"/>
          <w:u w:val="single"/>
        </w:rPr>
        <w:t>Нагрузка</w:t>
      </w:r>
    </w:p>
    <w:p w:rsidR="007C50D0" w:rsidRPr="007C50D0" w:rsidRDefault="007C50D0" w:rsidP="008619A6">
      <w:pPr>
        <w:ind w:firstLine="900"/>
        <w:contextualSpacing/>
        <w:jc w:val="both"/>
        <w:rPr>
          <w:sz w:val="28"/>
          <w:szCs w:val="28"/>
        </w:rPr>
      </w:pPr>
      <w:r w:rsidRPr="007C50D0">
        <w:rPr>
          <w:sz w:val="28"/>
          <w:szCs w:val="28"/>
        </w:rPr>
        <w:t>За 12 месяцев 2017 года районными (городскими) судами Республики Татарстан в первой инстанции рассмотрено 111141 уголовное дело, 92225 гражданских дел, 10638 административных дел и 21469 дела об административных правонарушениях. По сравнению с прошлым годом наблюдается увеличение количества рассмотренных уголовных дел и дел об административных правонарушениях соответственно на 4,9% и 9,0%. Количество гражданских дел по сравнению с 2016 годом уменьшилось на 18,6%, количество административных – на 60,3%.</w:t>
      </w:r>
    </w:p>
    <w:p w:rsidR="007C50D0" w:rsidRPr="007C50D0" w:rsidRDefault="007C50D0" w:rsidP="008619A6">
      <w:pPr>
        <w:ind w:firstLine="900"/>
        <w:contextualSpacing/>
        <w:jc w:val="center"/>
        <w:rPr>
          <w:sz w:val="24"/>
          <w:szCs w:val="24"/>
        </w:rPr>
      </w:pPr>
      <w:r w:rsidRPr="007C50D0">
        <w:rPr>
          <w:sz w:val="24"/>
          <w:szCs w:val="24"/>
        </w:rPr>
        <w:t xml:space="preserve">                                                                                                           Таблица 1</w:t>
      </w:r>
      <w:r w:rsidR="00C02904">
        <w:rPr>
          <w:sz w:val="24"/>
          <w:szCs w:val="24"/>
        </w:rPr>
        <w:t>1</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3686"/>
        <w:gridCol w:w="1276"/>
        <w:gridCol w:w="993"/>
        <w:gridCol w:w="1275"/>
        <w:gridCol w:w="1134"/>
        <w:gridCol w:w="850"/>
      </w:tblGrid>
      <w:tr w:rsidR="007C50D0" w:rsidRPr="007C50D0" w:rsidTr="00B20765">
        <w:trPr>
          <w:trHeight w:val="63"/>
        </w:trPr>
        <w:tc>
          <w:tcPr>
            <w:tcW w:w="9214" w:type="dxa"/>
            <w:gridSpan w:val="6"/>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Количество рассмотренных дел в 1 инстанции за 12 месяцев</w:t>
            </w:r>
          </w:p>
        </w:tc>
      </w:tr>
      <w:tr w:rsidR="007C50D0" w:rsidRPr="007C50D0" w:rsidTr="00B20765">
        <w:tc>
          <w:tcPr>
            <w:tcW w:w="3686"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Судопроизводство</w:t>
            </w:r>
          </w:p>
        </w:tc>
        <w:tc>
          <w:tcPr>
            <w:tcW w:w="1276"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993"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1275"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1134"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850"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B20765">
        <w:trPr>
          <w:trHeight w:val="14"/>
        </w:trPr>
        <w:tc>
          <w:tcPr>
            <w:tcW w:w="3686" w:type="dxa"/>
            <w:tcBorders>
              <w:top w:val="thickThinLargeGap" w:sz="24" w:space="0" w:color="auto"/>
            </w:tcBorders>
            <w:vAlign w:val="center"/>
          </w:tcPr>
          <w:p w:rsidR="007C50D0" w:rsidRPr="007C50D0" w:rsidRDefault="007C50D0" w:rsidP="008619A6">
            <w:pPr>
              <w:contextualSpacing/>
              <w:jc w:val="center"/>
              <w:rPr>
                <w:b/>
                <w:sz w:val="24"/>
                <w:szCs w:val="24"/>
                <w:lang w:val="en-US"/>
              </w:rPr>
            </w:pPr>
            <w:r w:rsidRPr="007C50D0">
              <w:rPr>
                <w:b/>
                <w:sz w:val="24"/>
                <w:szCs w:val="24"/>
              </w:rPr>
              <w:t>Уголовное</w:t>
            </w:r>
          </w:p>
        </w:tc>
        <w:tc>
          <w:tcPr>
            <w:tcW w:w="1276" w:type="dxa"/>
            <w:tcBorders>
              <w:top w:val="thickThinLargeGap" w:sz="24" w:space="0" w:color="auto"/>
            </w:tcBorders>
            <w:vAlign w:val="center"/>
          </w:tcPr>
          <w:p w:rsidR="007C50D0" w:rsidRPr="007C50D0" w:rsidRDefault="007C50D0" w:rsidP="008619A6">
            <w:pPr>
              <w:contextualSpacing/>
              <w:jc w:val="center"/>
              <w:rPr>
                <w:i/>
                <w:iCs/>
                <w:sz w:val="24"/>
                <w:szCs w:val="24"/>
              </w:rPr>
            </w:pPr>
            <w:r w:rsidRPr="007C50D0">
              <w:rPr>
                <w:i/>
                <w:iCs/>
                <w:sz w:val="24"/>
                <w:szCs w:val="24"/>
              </w:rPr>
              <w:t>10926</w:t>
            </w:r>
          </w:p>
        </w:tc>
        <w:tc>
          <w:tcPr>
            <w:tcW w:w="993" w:type="dxa"/>
            <w:tcBorders>
              <w:top w:val="thickThinLargeGap" w:sz="24" w:space="0" w:color="auto"/>
            </w:tcBorders>
            <w:vAlign w:val="center"/>
          </w:tcPr>
          <w:p w:rsidR="007C50D0" w:rsidRPr="007C50D0" w:rsidRDefault="007C50D0" w:rsidP="008619A6">
            <w:pPr>
              <w:contextualSpacing/>
              <w:jc w:val="center"/>
              <w:rPr>
                <w:i/>
                <w:iCs/>
                <w:sz w:val="24"/>
                <w:szCs w:val="24"/>
              </w:rPr>
            </w:pPr>
            <w:r w:rsidRPr="007C50D0">
              <w:rPr>
                <w:i/>
                <w:iCs/>
                <w:sz w:val="24"/>
                <w:szCs w:val="24"/>
              </w:rPr>
              <w:t>10089</w:t>
            </w:r>
          </w:p>
        </w:tc>
        <w:tc>
          <w:tcPr>
            <w:tcW w:w="1275" w:type="dxa"/>
            <w:tcBorders>
              <w:top w:val="thickThinLargeGap" w:sz="24" w:space="0" w:color="auto"/>
            </w:tcBorders>
            <w:vAlign w:val="center"/>
          </w:tcPr>
          <w:p w:rsidR="007C50D0" w:rsidRPr="007C50D0" w:rsidRDefault="007C50D0" w:rsidP="008619A6">
            <w:pPr>
              <w:contextualSpacing/>
              <w:jc w:val="center"/>
              <w:rPr>
                <w:i/>
                <w:iCs/>
                <w:sz w:val="24"/>
                <w:szCs w:val="24"/>
              </w:rPr>
            </w:pPr>
            <w:r w:rsidRPr="007C50D0">
              <w:rPr>
                <w:i/>
                <w:iCs/>
                <w:sz w:val="24"/>
                <w:szCs w:val="24"/>
              </w:rPr>
              <w:t>10522</w:t>
            </w:r>
          </w:p>
        </w:tc>
        <w:tc>
          <w:tcPr>
            <w:tcW w:w="1134" w:type="dxa"/>
            <w:tcBorders>
              <w:top w:val="thickThinLargeGap" w:sz="24" w:space="0" w:color="auto"/>
            </w:tcBorders>
            <w:vAlign w:val="center"/>
          </w:tcPr>
          <w:p w:rsidR="007C50D0" w:rsidRPr="007C50D0" w:rsidRDefault="007C50D0" w:rsidP="008619A6">
            <w:pPr>
              <w:contextualSpacing/>
              <w:jc w:val="center"/>
              <w:rPr>
                <w:i/>
                <w:iCs/>
                <w:sz w:val="24"/>
                <w:szCs w:val="24"/>
              </w:rPr>
            </w:pPr>
            <w:r w:rsidRPr="007C50D0">
              <w:rPr>
                <w:i/>
                <w:iCs/>
                <w:sz w:val="24"/>
                <w:szCs w:val="24"/>
              </w:rPr>
              <w:t>10624</w:t>
            </w:r>
          </w:p>
        </w:tc>
        <w:tc>
          <w:tcPr>
            <w:tcW w:w="850" w:type="dxa"/>
            <w:tcBorders>
              <w:top w:val="thickThinLargeGap" w:sz="24" w:space="0" w:color="auto"/>
            </w:tcBorders>
            <w:vAlign w:val="center"/>
          </w:tcPr>
          <w:p w:rsidR="007C50D0" w:rsidRPr="007C50D0" w:rsidRDefault="007C50D0" w:rsidP="008619A6">
            <w:pPr>
              <w:contextualSpacing/>
              <w:jc w:val="center"/>
              <w:rPr>
                <w:i/>
                <w:iCs/>
                <w:sz w:val="24"/>
                <w:szCs w:val="24"/>
              </w:rPr>
            </w:pPr>
            <w:r w:rsidRPr="007C50D0">
              <w:rPr>
                <w:i/>
                <w:iCs/>
                <w:sz w:val="24"/>
                <w:szCs w:val="24"/>
              </w:rPr>
              <w:t>11141</w:t>
            </w:r>
          </w:p>
        </w:tc>
      </w:tr>
      <w:tr w:rsidR="007C50D0" w:rsidRPr="007C50D0" w:rsidTr="00B20765">
        <w:trPr>
          <w:trHeight w:val="66"/>
        </w:trPr>
        <w:tc>
          <w:tcPr>
            <w:tcW w:w="3686" w:type="dxa"/>
            <w:vAlign w:val="center"/>
          </w:tcPr>
          <w:p w:rsidR="007C50D0" w:rsidRPr="007C50D0" w:rsidRDefault="007C50D0" w:rsidP="008619A6">
            <w:pPr>
              <w:contextualSpacing/>
              <w:jc w:val="center"/>
              <w:rPr>
                <w:b/>
                <w:sz w:val="24"/>
                <w:szCs w:val="24"/>
                <w:lang w:val="en-US"/>
              </w:rPr>
            </w:pPr>
            <w:r w:rsidRPr="007C50D0">
              <w:rPr>
                <w:b/>
                <w:sz w:val="24"/>
                <w:szCs w:val="24"/>
              </w:rPr>
              <w:t>Гражданское</w:t>
            </w:r>
          </w:p>
        </w:tc>
        <w:tc>
          <w:tcPr>
            <w:tcW w:w="1276" w:type="dxa"/>
            <w:vAlign w:val="center"/>
          </w:tcPr>
          <w:p w:rsidR="007C50D0" w:rsidRPr="007C50D0" w:rsidRDefault="007C50D0" w:rsidP="008619A6">
            <w:pPr>
              <w:contextualSpacing/>
              <w:jc w:val="center"/>
              <w:rPr>
                <w:i/>
                <w:iCs/>
                <w:sz w:val="24"/>
                <w:szCs w:val="24"/>
              </w:rPr>
            </w:pPr>
            <w:r w:rsidRPr="007C50D0">
              <w:rPr>
                <w:i/>
                <w:iCs/>
                <w:sz w:val="24"/>
                <w:szCs w:val="24"/>
              </w:rPr>
              <w:t>128970</w:t>
            </w:r>
          </w:p>
        </w:tc>
        <w:tc>
          <w:tcPr>
            <w:tcW w:w="993" w:type="dxa"/>
            <w:vAlign w:val="center"/>
          </w:tcPr>
          <w:p w:rsidR="007C50D0" w:rsidRPr="007C50D0" w:rsidRDefault="007C50D0" w:rsidP="008619A6">
            <w:pPr>
              <w:contextualSpacing/>
              <w:jc w:val="center"/>
              <w:rPr>
                <w:i/>
                <w:iCs/>
                <w:sz w:val="24"/>
                <w:szCs w:val="24"/>
              </w:rPr>
            </w:pPr>
            <w:r w:rsidRPr="007C50D0">
              <w:rPr>
                <w:i/>
                <w:iCs/>
                <w:sz w:val="24"/>
                <w:szCs w:val="24"/>
              </w:rPr>
              <w:t>136844</w:t>
            </w:r>
          </w:p>
        </w:tc>
        <w:tc>
          <w:tcPr>
            <w:tcW w:w="1275" w:type="dxa"/>
            <w:vAlign w:val="center"/>
          </w:tcPr>
          <w:p w:rsidR="007C50D0" w:rsidRPr="007C50D0" w:rsidRDefault="007C50D0" w:rsidP="008619A6">
            <w:pPr>
              <w:contextualSpacing/>
              <w:jc w:val="center"/>
              <w:rPr>
                <w:i/>
                <w:iCs/>
                <w:sz w:val="24"/>
                <w:szCs w:val="24"/>
              </w:rPr>
            </w:pPr>
            <w:r w:rsidRPr="007C50D0">
              <w:rPr>
                <w:i/>
                <w:iCs/>
                <w:sz w:val="24"/>
                <w:szCs w:val="24"/>
              </w:rPr>
              <w:t>142352</w:t>
            </w:r>
          </w:p>
        </w:tc>
        <w:tc>
          <w:tcPr>
            <w:tcW w:w="1134" w:type="dxa"/>
            <w:vAlign w:val="center"/>
          </w:tcPr>
          <w:p w:rsidR="007C50D0" w:rsidRPr="007C50D0" w:rsidRDefault="007C50D0" w:rsidP="008619A6">
            <w:pPr>
              <w:contextualSpacing/>
              <w:jc w:val="center"/>
              <w:rPr>
                <w:i/>
                <w:iCs/>
                <w:sz w:val="24"/>
                <w:szCs w:val="24"/>
              </w:rPr>
            </w:pPr>
            <w:r w:rsidRPr="007C50D0">
              <w:rPr>
                <w:i/>
                <w:iCs/>
                <w:sz w:val="24"/>
                <w:szCs w:val="24"/>
              </w:rPr>
              <w:t>112419</w:t>
            </w:r>
          </w:p>
        </w:tc>
        <w:tc>
          <w:tcPr>
            <w:tcW w:w="850" w:type="dxa"/>
            <w:vAlign w:val="center"/>
          </w:tcPr>
          <w:p w:rsidR="007C50D0" w:rsidRPr="007C50D0" w:rsidRDefault="007C50D0" w:rsidP="008619A6">
            <w:pPr>
              <w:contextualSpacing/>
              <w:jc w:val="center"/>
              <w:rPr>
                <w:i/>
                <w:iCs/>
                <w:sz w:val="24"/>
                <w:szCs w:val="24"/>
              </w:rPr>
            </w:pPr>
            <w:r w:rsidRPr="007C50D0">
              <w:rPr>
                <w:i/>
                <w:iCs/>
                <w:sz w:val="24"/>
                <w:szCs w:val="24"/>
              </w:rPr>
              <w:t>92225</w:t>
            </w:r>
          </w:p>
        </w:tc>
      </w:tr>
      <w:tr w:rsidR="007C50D0" w:rsidRPr="007C50D0" w:rsidTr="00B20765">
        <w:trPr>
          <w:trHeight w:val="66"/>
        </w:trPr>
        <w:tc>
          <w:tcPr>
            <w:tcW w:w="3686" w:type="dxa"/>
            <w:vAlign w:val="center"/>
          </w:tcPr>
          <w:p w:rsidR="007C50D0" w:rsidRPr="007C50D0" w:rsidRDefault="007C50D0" w:rsidP="008619A6">
            <w:pPr>
              <w:contextualSpacing/>
              <w:jc w:val="center"/>
              <w:rPr>
                <w:b/>
                <w:sz w:val="24"/>
                <w:szCs w:val="24"/>
              </w:rPr>
            </w:pPr>
            <w:r w:rsidRPr="007C50D0">
              <w:rPr>
                <w:b/>
                <w:sz w:val="24"/>
                <w:szCs w:val="24"/>
              </w:rPr>
              <w:t>Административное</w:t>
            </w:r>
          </w:p>
        </w:tc>
        <w:tc>
          <w:tcPr>
            <w:tcW w:w="1276" w:type="dxa"/>
            <w:vAlign w:val="center"/>
          </w:tcPr>
          <w:p w:rsidR="007C50D0" w:rsidRPr="007C50D0" w:rsidRDefault="007C50D0" w:rsidP="008619A6">
            <w:pPr>
              <w:contextualSpacing/>
              <w:jc w:val="center"/>
              <w:rPr>
                <w:i/>
                <w:iCs/>
                <w:sz w:val="24"/>
                <w:szCs w:val="24"/>
              </w:rPr>
            </w:pPr>
          </w:p>
        </w:tc>
        <w:tc>
          <w:tcPr>
            <w:tcW w:w="993" w:type="dxa"/>
            <w:vAlign w:val="center"/>
          </w:tcPr>
          <w:p w:rsidR="007C50D0" w:rsidRPr="007C50D0" w:rsidRDefault="007C50D0" w:rsidP="008619A6">
            <w:pPr>
              <w:contextualSpacing/>
              <w:jc w:val="center"/>
              <w:rPr>
                <w:i/>
                <w:iCs/>
                <w:sz w:val="24"/>
                <w:szCs w:val="24"/>
              </w:rPr>
            </w:pPr>
          </w:p>
        </w:tc>
        <w:tc>
          <w:tcPr>
            <w:tcW w:w="1275" w:type="dxa"/>
            <w:vAlign w:val="center"/>
          </w:tcPr>
          <w:p w:rsidR="007C50D0" w:rsidRPr="007C50D0" w:rsidRDefault="007C50D0" w:rsidP="008619A6">
            <w:pPr>
              <w:contextualSpacing/>
              <w:jc w:val="center"/>
              <w:rPr>
                <w:i/>
                <w:iCs/>
                <w:sz w:val="24"/>
                <w:szCs w:val="24"/>
              </w:rPr>
            </w:pPr>
          </w:p>
        </w:tc>
        <w:tc>
          <w:tcPr>
            <w:tcW w:w="1134" w:type="dxa"/>
            <w:vAlign w:val="center"/>
          </w:tcPr>
          <w:p w:rsidR="007C50D0" w:rsidRPr="007C50D0" w:rsidRDefault="007C50D0" w:rsidP="008619A6">
            <w:pPr>
              <w:contextualSpacing/>
              <w:jc w:val="center"/>
              <w:rPr>
                <w:i/>
                <w:iCs/>
                <w:sz w:val="24"/>
                <w:szCs w:val="24"/>
              </w:rPr>
            </w:pPr>
            <w:r w:rsidRPr="007C50D0">
              <w:rPr>
                <w:i/>
                <w:iCs/>
                <w:sz w:val="24"/>
                <w:szCs w:val="24"/>
              </w:rPr>
              <w:t>26796</w:t>
            </w:r>
          </w:p>
        </w:tc>
        <w:tc>
          <w:tcPr>
            <w:tcW w:w="850" w:type="dxa"/>
            <w:vAlign w:val="center"/>
          </w:tcPr>
          <w:p w:rsidR="007C50D0" w:rsidRPr="007C50D0" w:rsidRDefault="007C50D0" w:rsidP="008619A6">
            <w:pPr>
              <w:contextualSpacing/>
              <w:jc w:val="center"/>
              <w:rPr>
                <w:i/>
                <w:iCs/>
                <w:sz w:val="24"/>
                <w:szCs w:val="24"/>
              </w:rPr>
            </w:pPr>
            <w:r w:rsidRPr="007C50D0">
              <w:rPr>
                <w:i/>
                <w:iCs/>
                <w:sz w:val="24"/>
                <w:szCs w:val="24"/>
              </w:rPr>
              <w:t>10638</w:t>
            </w:r>
          </w:p>
        </w:tc>
      </w:tr>
      <w:tr w:rsidR="007C50D0" w:rsidRPr="007C50D0" w:rsidTr="00B20765">
        <w:trPr>
          <w:trHeight w:val="247"/>
        </w:trPr>
        <w:tc>
          <w:tcPr>
            <w:tcW w:w="3686" w:type="dxa"/>
            <w:vAlign w:val="center"/>
          </w:tcPr>
          <w:p w:rsidR="007C50D0" w:rsidRPr="007C50D0" w:rsidRDefault="007C50D0" w:rsidP="008619A6">
            <w:pPr>
              <w:contextualSpacing/>
              <w:jc w:val="center"/>
              <w:rPr>
                <w:b/>
                <w:sz w:val="24"/>
                <w:szCs w:val="24"/>
              </w:rPr>
            </w:pPr>
            <w:r w:rsidRPr="007C50D0">
              <w:rPr>
                <w:b/>
                <w:sz w:val="24"/>
                <w:szCs w:val="24"/>
              </w:rPr>
              <w:t>По делам об АП</w:t>
            </w:r>
          </w:p>
        </w:tc>
        <w:tc>
          <w:tcPr>
            <w:tcW w:w="1276" w:type="dxa"/>
            <w:vAlign w:val="center"/>
          </w:tcPr>
          <w:p w:rsidR="007C50D0" w:rsidRPr="007C50D0" w:rsidRDefault="007C50D0" w:rsidP="008619A6">
            <w:pPr>
              <w:contextualSpacing/>
              <w:jc w:val="center"/>
              <w:rPr>
                <w:i/>
                <w:iCs/>
                <w:sz w:val="24"/>
                <w:szCs w:val="24"/>
              </w:rPr>
            </w:pPr>
            <w:r w:rsidRPr="007C50D0">
              <w:rPr>
                <w:i/>
                <w:iCs/>
                <w:sz w:val="24"/>
                <w:szCs w:val="24"/>
              </w:rPr>
              <w:t>18456</w:t>
            </w:r>
          </w:p>
        </w:tc>
        <w:tc>
          <w:tcPr>
            <w:tcW w:w="993" w:type="dxa"/>
            <w:vAlign w:val="center"/>
          </w:tcPr>
          <w:p w:rsidR="007C50D0" w:rsidRPr="007C50D0" w:rsidRDefault="007C50D0" w:rsidP="008619A6">
            <w:pPr>
              <w:contextualSpacing/>
              <w:jc w:val="center"/>
              <w:rPr>
                <w:i/>
                <w:iCs/>
                <w:sz w:val="24"/>
                <w:szCs w:val="24"/>
              </w:rPr>
            </w:pPr>
            <w:r w:rsidRPr="007C50D0">
              <w:rPr>
                <w:i/>
                <w:iCs/>
                <w:sz w:val="24"/>
                <w:szCs w:val="24"/>
              </w:rPr>
              <w:t>19562</w:t>
            </w:r>
          </w:p>
        </w:tc>
        <w:tc>
          <w:tcPr>
            <w:tcW w:w="1275" w:type="dxa"/>
            <w:vAlign w:val="center"/>
          </w:tcPr>
          <w:p w:rsidR="007C50D0" w:rsidRPr="007C50D0" w:rsidRDefault="007C50D0" w:rsidP="008619A6">
            <w:pPr>
              <w:contextualSpacing/>
              <w:jc w:val="center"/>
              <w:rPr>
                <w:i/>
                <w:iCs/>
                <w:sz w:val="24"/>
                <w:szCs w:val="24"/>
              </w:rPr>
            </w:pPr>
            <w:r w:rsidRPr="007C50D0">
              <w:rPr>
                <w:i/>
                <w:iCs/>
                <w:sz w:val="24"/>
                <w:szCs w:val="24"/>
              </w:rPr>
              <w:t>18178</w:t>
            </w:r>
          </w:p>
        </w:tc>
        <w:tc>
          <w:tcPr>
            <w:tcW w:w="1134" w:type="dxa"/>
            <w:vAlign w:val="center"/>
          </w:tcPr>
          <w:p w:rsidR="007C50D0" w:rsidRPr="007C50D0" w:rsidRDefault="007C50D0" w:rsidP="008619A6">
            <w:pPr>
              <w:contextualSpacing/>
              <w:jc w:val="center"/>
              <w:rPr>
                <w:i/>
                <w:iCs/>
                <w:sz w:val="24"/>
                <w:szCs w:val="24"/>
              </w:rPr>
            </w:pPr>
            <w:r w:rsidRPr="007C50D0">
              <w:rPr>
                <w:i/>
                <w:iCs/>
                <w:sz w:val="24"/>
                <w:szCs w:val="24"/>
              </w:rPr>
              <w:t>19692</w:t>
            </w:r>
          </w:p>
        </w:tc>
        <w:tc>
          <w:tcPr>
            <w:tcW w:w="850" w:type="dxa"/>
            <w:vAlign w:val="center"/>
          </w:tcPr>
          <w:p w:rsidR="007C50D0" w:rsidRPr="007C50D0" w:rsidRDefault="007C50D0" w:rsidP="008619A6">
            <w:pPr>
              <w:contextualSpacing/>
              <w:jc w:val="center"/>
              <w:rPr>
                <w:i/>
                <w:iCs/>
                <w:sz w:val="24"/>
                <w:szCs w:val="24"/>
              </w:rPr>
            </w:pPr>
            <w:r w:rsidRPr="007C50D0">
              <w:rPr>
                <w:i/>
                <w:iCs/>
                <w:sz w:val="24"/>
                <w:szCs w:val="24"/>
              </w:rPr>
              <w:t>21469</w:t>
            </w:r>
          </w:p>
        </w:tc>
      </w:tr>
    </w:tbl>
    <w:p w:rsidR="007C50D0" w:rsidRPr="007C50D0" w:rsidRDefault="007C50D0" w:rsidP="008619A6">
      <w:pPr>
        <w:ind w:firstLine="900"/>
        <w:contextualSpacing/>
        <w:jc w:val="both"/>
        <w:rPr>
          <w:sz w:val="28"/>
          <w:szCs w:val="28"/>
        </w:rPr>
      </w:pPr>
      <w:r w:rsidRPr="007C50D0">
        <w:rPr>
          <w:sz w:val="28"/>
          <w:szCs w:val="28"/>
        </w:rPr>
        <w:t>Штатная численность судей в 2017 году увеличилась на 1 человека, общее количество рассмотренных гражданских и административных дел снизилось. В связи с этим наблюдается снижение средней служебной нагрузки при рассмотрении гражданских и административных дел: на 5,2 и 4,2 единицы соответственно.</w:t>
      </w:r>
    </w:p>
    <w:p w:rsidR="008619A6" w:rsidRDefault="007C50D0" w:rsidP="008619A6">
      <w:pPr>
        <w:ind w:firstLine="900"/>
        <w:contextualSpacing/>
        <w:jc w:val="both"/>
        <w:rPr>
          <w:sz w:val="28"/>
          <w:szCs w:val="28"/>
        </w:rPr>
      </w:pPr>
      <w:r w:rsidRPr="007C50D0">
        <w:rPr>
          <w:sz w:val="28"/>
          <w:szCs w:val="28"/>
        </w:rPr>
        <w:t>Служебная нагрузка  при рассмотрении уголовных дел в первой инстанции, а также дел об административных правонарушениях в 2017 году увеличилась незначительно: на 0,2 и 0,4 единицы соответственно.</w:t>
      </w:r>
    </w:p>
    <w:p w:rsidR="008619A6" w:rsidRPr="007C50D0" w:rsidRDefault="008619A6" w:rsidP="008619A6">
      <w:pPr>
        <w:ind w:firstLine="900"/>
        <w:contextualSpacing/>
        <w:jc w:val="center"/>
        <w:rPr>
          <w:sz w:val="24"/>
          <w:szCs w:val="24"/>
        </w:rPr>
      </w:pPr>
      <w:r w:rsidRPr="007C50D0">
        <w:rPr>
          <w:sz w:val="24"/>
          <w:szCs w:val="24"/>
        </w:rPr>
        <w:t xml:space="preserve">                                                                                                           Таблица 1</w:t>
      </w:r>
      <w:r>
        <w:rPr>
          <w:sz w:val="24"/>
          <w:szCs w:val="24"/>
        </w:rPr>
        <w:t>2</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3686"/>
        <w:gridCol w:w="1276"/>
        <w:gridCol w:w="993"/>
        <w:gridCol w:w="1275"/>
        <w:gridCol w:w="1134"/>
        <w:gridCol w:w="850"/>
      </w:tblGrid>
      <w:tr w:rsidR="008619A6" w:rsidRPr="007C50D0" w:rsidTr="00C414DD">
        <w:trPr>
          <w:trHeight w:val="63"/>
        </w:trPr>
        <w:tc>
          <w:tcPr>
            <w:tcW w:w="9214" w:type="dxa"/>
            <w:gridSpan w:val="6"/>
            <w:tcBorders>
              <w:top w:val="double" w:sz="4" w:space="0" w:color="auto"/>
              <w:bottom w:val="single" w:sz="4" w:space="0" w:color="auto"/>
            </w:tcBorders>
            <w:shd w:val="clear" w:color="auto" w:fill="auto"/>
            <w:vAlign w:val="center"/>
          </w:tcPr>
          <w:p w:rsidR="008619A6" w:rsidRPr="007C50D0" w:rsidRDefault="007007DF" w:rsidP="007007DF">
            <w:pPr>
              <w:contextualSpacing/>
              <w:jc w:val="center"/>
              <w:rPr>
                <w:b/>
                <w:sz w:val="24"/>
                <w:szCs w:val="24"/>
              </w:rPr>
            </w:pPr>
            <w:r>
              <w:rPr>
                <w:b/>
                <w:sz w:val="24"/>
                <w:szCs w:val="24"/>
              </w:rPr>
              <w:t>Нагрузка при</w:t>
            </w:r>
            <w:r w:rsidR="008619A6" w:rsidRPr="007C50D0">
              <w:rPr>
                <w:b/>
                <w:sz w:val="24"/>
                <w:szCs w:val="24"/>
              </w:rPr>
              <w:t xml:space="preserve"> рассмотрен</w:t>
            </w:r>
            <w:r>
              <w:rPr>
                <w:b/>
                <w:sz w:val="24"/>
                <w:szCs w:val="24"/>
              </w:rPr>
              <w:t>ии</w:t>
            </w:r>
            <w:r w:rsidR="008619A6" w:rsidRPr="007C50D0">
              <w:rPr>
                <w:b/>
                <w:sz w:val="24"/>
                <w:szCs w:val="24"/>
              </w:rPr>
              <w:t xml:space="preserve"> дел в 1 инстанции за 12 месяцев</w:t>
            </w:r>
          </w:p>
        </w:tc>
      </w:tr>
      <w:tr w:rsidR="008619A6" w:rsidRPr="007C50D0" w:rsidTr="00C414DD">
        <w:tc>
          <w:tcPr>
            <w:tcW w:w="3686" w:type="dxa"/>
            <w:tcBorders>
              <w:top w:val="single" w:sz="4" w:space="0" w:color="auto"/>
              <w:bottom w:val="thickThinLargeGap" w:sz="24" w:space="0" w:color="auto"/>
            </w:tcBorders>
            <w:shd w:val="clear" w:color="auto" w:fill="auto"/>
            <w:vAlign w:val="center"/>
          </w:tcPr>
          <w:p w:rsidR="008619A6" w:rsidRPr="007C50D0" w:rsidRDefault="008619A6" w:rsidP="00C414DD">
            <w:pPr>
              <w:contextualSpacing/>
              <w:jc w:val="center"/>
              <w:rPr>
                <w:b/>
                <w:sz w:val="24"/>
                <w:szCs w:val="24"/>
              </w:rPr>
            </w:pPr>
            <w:r w:rsidRPr="007C50D0">
              <w:rPr>
                <w:b/>
                <w:sz w:val="24"/>
                <w:szCs w:val="24"/>
              </w:rPr>
              <w:t>Судопроизводство</w:t>
            </w:r>
          </w:p>
        </w:tc>
        <w:tc>
          <w:tcPr>
            <w:tcW w:w="1276" w:type="dxa"/>
            <w:tcBorders>
              <w:top w:val="single" w:sz="4" w:space="0" w:color="auto"/>
              <w:bottom w:val="thickThinLargeGap" w:sz="24" w:space="0" w:color="auto"/>
            </w:tcBorders>
            <w:shd w:val="clear" w:color="auto" w:fill="auto"/>
            <w:vAlign w:val="center"/>
          </w:tcPr>
          <w:p w:rsidR="008619A6" w:rsidRPr="007C50D0" w:rsidRDefault="008619A6" w:rsidP="00C414DD">
            <w:pPr>
              <w:contextualSpacing/>
              <w:jc w:val="center"/>
              <w:rPr>
                <w:b/>
                <w:sz w:val="24"/>
                <w:szCs w:val="24"/>
              </w:rPr>
            </w:pPr>
            <w:r w:rsidRPr="007C50D0">
              <w:rPr>
                <w:b/>
                <w:sz w:val="24"/>
                <w:szCs w:val="24"/>
              </w:rPr>
              <w:t>2013</w:t>
            </w:r>
          </w:p>
        </w:tc>
        <w:tc>
          <w:tcPr>
            <w:tcW w:w="993" w:type="dxa"/>
            <w:tcBorders>
              <w:top w:val="single" w:sz="4" w:space="0" w:color="auto"/>
              <w:bottom w:val="thickThinLargeGap" w:sz="24" w:space="0" w:color="auto"/>
            </w:tcBorders>
            <w:shd w:val="clear" w:color="auto" w:fill="auto"/>
            <w:vAlign w:val="center"/>
          </w:tcPr>
          <w:p w:rsidR="008619A6" w:rsidRPr="007C50D0" w:rsidRDefault="008619A6" w:rsidP="00C414DD">
            <w:pPr>
              <w:contextualSpacing/>
              <w:jc w:val="center"/>
              <w:rPr>
                <w:b/>
                <w:sz w:val="24"/>
                <w:szCs w:val="24"/>
              </w:rPr>
            </w:pPr>
            <w:r w:rsidRPr="007C50D0">
              <w:rPr>
                <w:b/>
                <w:sz w:val="24"/>
                <w:szCs w:val="24"/>
              </w:rPr>
              <w:t>2014</w:t>
            </w:r>
          </w:p>
        </w:tc>
        <w:tc>
          <w:tcPr>
            <w:tcW w:w="1275" w:type="dxa"/>
            <w:tcBorders>
              <w:top w:val="single" w:sz="4" w:space="0" w:color="auto"/>
              <w:bottom w:val="thickThinLargeGap" w:sz="24" w:space="0" w:color="auto"/>
            </w:tcBorders>
            <w:shd w:val="clear" w:color="auto" w:fill="auto"/>
            <w:vAlign w:val="center"/>
          </w:tcPr>
          <w:p w:rsidR="008619A6" w:rsidRPr="007C50D0" w:rsidRDefault="008619A6" w:rsidP="00C414DD">
            <w:pPr>
              <w:contextualSpacing/>
              <w:jc w:val="center"/>
              <w:rPr>
                <w:b/>
                <w:sz w:val="24"/>
                <w:szCs w:val="24"/>
              </w:rPr>
            </w:pPr>
            <w:r w:rsidRPr="007C50D0">
              <w:rPr>
                <w:b/>
                <w:sz w:val="24"/>
                <w:szCs w:val="24"/>
              </w:rPr>
              <w:t>2015</w:t>
            </w:r>
          </w:p>
        </w:tc>
        <w:tc>
          <w:tcPr>
            <w:tcW w:w="1134" w:type="dxa"/>
            <w:tcBorders>
              <w:top w:val="single" w:sz="4" w:space="0" w:color="auto"/>
              <w:bottom w:val="thickThinLargeGap" w:sz="24" w:space="0" w:color="auto"/>
            </w:tcBorders>
            <w:shd w:val="clear" w:color="auto" w:fill="auto"/>
            <w:vAlign w:val="center"/>
          </w:tcPr>
          <w:p w:rsidR="008619A6" w:rsidRPr="007C50D0" w:rsidRDefault="008619A6" w:rsidP="00C414DD">
            <w:pPr>
              <w:contextualSpacing/>
              <w:jc w:val="center"/>
              <w:rPr>
                <w:b/>
                <w:sz w:val="24"/>
                <w:szCs w:val="24"/>
              </w:rPr>
            </w:pPr>
            <w:r w:rsidRPr="007C50D0">
              <w:rPr>
                <w:b/>
                <w:sz w:val="24"/>
                <w:szCs w:val="24"/>
              </w:rPr>
              <w:t>2016</w:t>
            </w:r>
          </w:p>
        </w:tc>
        <w:tc>
          <w:tcPr>
            <w:tcW w:w="850" w:type="dxa"/>
            <w:tcBorders>
              <w:top w:val="single" w:sz="4" w:space="0" w:color="auto"/>
              <w:bottom w:val="thickThinLargeGap" w:sz="24" w:space="0" w:color="auto"/>
            </w:tcBorders>
            <w:shd w:val="clear" w:color="auto" w:fill="auto"/>
            <w:vAlign w:val="center"/>
          </w:tcPr>
          <w:p w:rsidR="008619A6" w:rsidRPr="007C50D0" w:rsidRDefault="008619A6" w:rsidP="00C414DD">
            <w:pPr>
              <w:contextualSpacing/>
              <w:jc w:val="center"/>
              <w:rPr>
                <w:b/>
                <w:sz w:val="24"/>
                <w:szCs w:val="24"/>
              </w:rPr>
            </w:pPr>
            <w:r w:rsidRPr="007C50D0">
              <w:rPr>
                <w:b/>
                <w:sz w:val="24"/>
                <w:szCs w:val="24"/>
              </w:rPr>
              <w:t>2017</w:t>
            </w:r>
          </w:p>
        </w:tc>
      </w:tr>
      <w:tr w:rsidR="008619A6" w:rsidRPr="007C50D0" w:rsidTr="00C414DD">
        <w:trPr>
          <w:trHeight w:val="14"/>
        </w:trPr>
        <w:tc>
          <w:tcPr>
            <w:tcW w:w="3686" w:type="dxa"/>
            <w:tcBorders>
              <w:top w:val="thickThinLargeGap" w:sz="24" w:space="0" w:color="auto"/>
            </w:tcBorders>
            <w:vAlign w:val="center"/>
          </w:tcPr>
          <w:p w:rsidR="008619A6" w:rsidRPr="007C50D0" w:rsidRDefault="008619A6" w:rsidP="008619A6">
            <w:pPr>
              <w:contextualSpacing/>
              <w:jc w:val="center"/>
              <w:rPr>
                <w:b/>
                <w:sz w:val="24"/>
                <w:szCs w:val="24"/>
                <w:lang w:val="en-US"/>
              </w:rPr>
            </w:pPr>
            <w:r w:rsidRPr="007C50D0">
              <w:rPr>
                <w:b/>
                <w:sz w:val="24"/>
                <w:szCs w:val="24"/>
              </w:rPr>
              <w:t>Уголовное</w:t>
            </w:r>
          </w:p>
        </w:tc>
        <w:tc>
          <w:tcPr>
            <w:tcW w:w="1276" w:type="dxa"/>
            <w:tcBorders>
              <w:top w:val="thickThinLargeGap" w:sz="24" w:space="0" w:color="auto"/>
            </w:tcBorders>
            <w:vAlign w:val="center"/>
          </w:tcPr>
          <w:p w:rsidR="008619A6" w:rsidRPr="007C50D0" w:rsidRDefault="008619A6" w:rsidP="008619A6">
            <w:pPr>
              <w:contextualSpacing/>
              <w:jc w:val="center"/>
              <w:rPr>
                <w:i/>
                <w:iCs/>
                <w:sz w:val="24"/>
                <w:szCs w:val="24"/>
              </w:rPr>
            </w:pPr>
            <w:r w:rsidRPr="007C50D0">
              <w:rPr>
                <w:i/>
                <w:iCs/>
                <w:sz w:val="24"/>
                <w:szCs w:val="24"/>
              </w:rPr>
              <w:t>2,8</w:t>
            </w:r>
          </w:p>
        </w:tc>
        <w:tc>
          <w:tcPr>
            <w:tcW w:w="993" w:type="dxa"/>
            <w:tcBorders>
              <w:top w:val="thickThinLargeGap" w:sz="24" w:space="0" w:color="auto"/>
            </w:tcBorders>
            <w:vAlign w:val="center"/>
          </w:tcPr>
          <w:p w:rsidR="008619A6" w:rsidRPr="007C50D0" w:rsidRDefault="008619A6" w:rsidP="008619A6">
            <w:pPr>
              <w:contextualSpacing/>
              <w:jc w:val="center"/>
              <w:rPr>
                <w:i/>
                <w:iCs/>
                <w:sz w:val="24"/>
                <w:szCs w:val="24"/>
              </w:rPr>
            </w:pPr>
            <w:r w:rsidRPr="007C50D0">
              <w:rPr>
                <w:i/>
                <w:iCs/>
                <w:sz w:val="24"/>
                <w:szCs w:val="24"/>
              </w:rPr>
              <w:t>2,6</w:t>
            </w:r>
          </w:p>
        </w:tc>
        <w:tc>
          <w:tcPr>
            <w:tcW w:w="1275" w:type="dxa"/>
            <w:tcBorders>
              <w:top w:val="thickThinLargeGap" w:sz="24" w:space="0" w:color="auto"/>
            </w:tcBorders>
            <w:vAlign w:val="center"/>
          </w:tcPr>
          <w:p w:rsidR="008619A6" w:rsidRPr="007C50D0" w:rsidRDefault="008619A6" w:rsidP="008619A6">
            <w:pPr>
              <w:contextualSpacing/>
              <w:jc w:val="center"/>
              <w:rPr>
                <w:i/>
                <w:iCs/>
                <w:sz w:val="24"/>
                <w:szCs w:val="24"/>
              </w:rPr>
            </w:pPr>
            <w:r w:rsidRPr="007C50D0">
              <w:rPr>
                <w:i/>
                <w:iCs/>
                <w:sz w:val="24"/>
                <w:szCs w:val="24"/>
              </w:rPr>
              <w:t>2,7</w:t>
            </w:r>
          </w:p>
        </w:tc>
        <w:tc>
          <w:tcPr>
            <w:tcW w:w="1134" w:type="dxa"/>
            <w:tcBorders>
              <w:top w:val="thickThinLargeGap" w:sz="24" w:space="0" w:color="auto"/>
            </w:tcBorders>
            <w:vAlign w:val="center"/>
          </w:tcPr>
          <w:p w:rsidR="008619A6" w:rsidRPr="007C50D0" w:rsidRDefault="008619A6" w:rsidP="008619A6">
            <w:pPr>
              <w:contextualSpacing/>
              <w:jc w:val="center"/>
              <w:rPr>
                <w:i/>
                <w:iCs/>
                <w:sz w:val="24"/>
                <w:szCs w:val="24"/>
              </w:rPr>
            </w:pPr>
            <w:r w:rsidRPr="007C50D0">
              <w:rPr>
                <w:i/>
                <w:iCs/>
                <w:sz w:val="24"/>
                <w:szCs w:val="24"/>
              </w:rPr>
              <w:t>2,7</w:t>
            </w:r>
          </w:p>
        </w:tc>
        <w:tc>
          <w:tcPr>
            <w:tcW w:w="850" w:type="dxa"/>
            <w:tcBorders>
              <w:top w:val="thickThinLargeGap" w:sz="24" w:space="0" w:color="auto"/>
            </w:tcBorders>
            <w:vAlign w:val="center"/>
          </w:tcPr>
          <w:p w:rsidR="008619A6" w:rsidRPr="007C50D0" w:rsidRDefault="008619A6" w:rsidP="008619A6">
            <w:pPr>
              <w:contextualSpacing/>
              <w:jc w:val="center"/>
              <w:rPr>
                <w:i/>
                <w:iCs/>
                <w:sz w:val="24"/>
                <w:szCs w:val="24"/>
              </w:rPr>
            </w:pPr>
            <w:r w:rsidRPr="007C50D0">
              <w:rPr>
                <w:i/>
                <w:iCs/>
                <w:sz w:val="24"/>
                <w:szCs w:val="24"/>
              </w:rPr>
              <w:t>2,9</w:t>
            </w:r>
          </w:p>
        </w:tc>
      </w:tr>
      <w:tr w:rsidR="008619A6" w:rsidRPr="007C50D0" w:rsidTr="00C414DD">
        <w:trPr>
          <w:trHeight w:val="66"/>
        </w:trPr>
        <w:tc>
          <w:tcPr>
            <w:tcW w:w="3686" w:type="dxa"/>
            <w:vAlign w:val="center"/>
          </w:tcPr>
          <w:p w:rsidR="008619A6" w:rsidRPr="007C50D0" w:rsidRDefault="008619A6" w:rsidP="008619A6">
            <w:pPr>
              <w:contextualSpacing/>
              <w:jc w:val="center"/>
              <w:rPr>
                <w:b/>
                <w:sz w:val="24"/>
                <w:szCs w:val="24"/>
                <w:lang w:val="en-US"/>
              </w:rPr>
            </w:pPr>
            <w:r w:rsidRPr="007C50D0">
              <w:rPr>
                <w:b/>
                <w:sz w:val="24"/>
                <w:szCs w:val="24"/>
              </w:rPr>
              <w:t>Гражданское</w:t>
            </w:r>
          </w:p>
        </w:tc>
        <w:tc>
          <w:tcPr>
            <w:tcW w:w="1276" w:type="dxa"/>
            <w:vAlign w:val="center"/>
          </w:tcPr>
          <w:p w:rsidR="008619A6" w:rsidRPr="007C50D0" w:rsidRDefault="008619A6" w:rsidP="008619A6">
            <w:pPr>
              <w:contextualSpacing/>
              <w:jc w:val="center"/>
              <w:rPr>
                <w:i/>
                <w:iCs/>
                <w:sz w:val="24"/>
                <w:szCs w:val="24"/>
              </w:rPr>
            </w:pPr>
            <w:r w:rsidRPr="007C50D0">
              <w:rPr>
                <w:i/>
                <w:iCs/>
                <w:sz w:val="24"/>
                <w:szCs w:val="24"/>
              </w:rPr>
              <w:t>33,2</w:t>
            </w:r>
          </w:p>
        </w:tc>
        <w:tc>
          <w:tcPr>
            <w:tcW w:w="993" w:type="dxa"/>
            <w:vAlign w:val="center"/>
          </w:tcPr>
          <w:p w:rsidR="008619A6" w:rsidRPr="007C50D0" w:rsidRDefault="008619A6" w:rsidP="008619A6">
            <w:pPr>
              <w:contextualSpacing/>
              <w:jc w:val="center"/>
              <w:rPr>
                <w:i/>
                <w:iCs/>
                <w:sz w:val="24"/>
                <w:szCs w:val="24"/>
              </w:rPr>
            </w:pPr>
            <w:r w:rsidRPr="007C50D0">
              <w:rPr>
                <w:i/>
                <w:iCs/>
                <w:sz w:val="24"/>
                <w:szCs w:val="24"/>
              </w:rPr>
              <w:t>35,2</w:t>
            </w:r>
          </w:p>
        </w:tc>
        <w:tc>
          <w:tcPr>
            <w:tcW w:w="1275" w:type="dxa"/>
            <w:vAlign w:val="center"/>
          </w:tcPr>
          <w:p w:rsidR="008619A6" w:rsidRPr="007C50D0" w:rsidRDefault="008619A6" w:rsidP="008619A6">
            <w:pPr>
              <w:contextualSpacing/>
              <w:jc w:val="center"/>
              <w:rPr>
                <w:i/>
                <w:iCs/>
                <w:sz w:val="24"/>
                <w:szCs w:val="24"/>
              </w:rPr>
            </w:pPr>
            <w:r w:rsidRPr="007C50D0">
              <w:rPr>
                <w:i/>
                <w:iCs/>
                <w:sz w:val="24"/>
                <w:szCs w:val="24"/>
              </w:rPr>
              <w:t>36,6</w:t>
            </w:r>
          </w:p>
        </w:tc>
        <w:tc>
          <w:tcPr>
            <w:tcW w:w="1134" w:type="dxa"/>
            <w:vAlign w:val="center"/>
          </w:tcPr>
          <w:p w:rsidR="008619A6" w:rsidRPr="007C50D0" w:rsidRDefault="008619A6" w:rsidP="008619A6">
            <w:pPr>
              <w:contextualSpacing/>
              <w:jc w:val="center"/>
              <w:rPr>
                <w:i/>
                <w:iCs/>
                <w:sz w:val="24"/>
                <w:szCs w:val="24"/>
              </w:rPr>
            </w:pPr>
            <w:r w:rsidRPr="007C50D0">
              <w:rPr>
                <w:i/>
                <w:iCs/>
                <w:sz w:val="24"/>
                <w:szCs w:val="24"/>
              </w:rPr>
              <w:t>28,9</w:t>
            </w:r>
          </w:p>
        </w:tc>
        <w:tc>
          <w:tcPr>
            <w:tcW w:w="850" w:type="dxa"/>
            <w:vAlign w:val="center"/>
          </w:tcPr>
          <w:p w:rsidR="008619A6" w:rsidRPr="007C50D0" w:rsidRDefault="008619A6" w:rsidP="008619A6">
            <w:pPr>
              <w:contextualSpacing/>
              <w:jc w:val="center"/>
              <w:rPr>
                <w:i/>
                <w:iCs/>
                <w:sz w:val="24"/>
                <w:szCs w:val="24"/>
              </w:rPr>
            </w:pPr>
            <w:r w:rsidRPr="007C50D0">
              <w:rPr>
                <w:i/>
                <w:iCs/>
                <w:sz w:val="24"/>
                <w:szCs w:val="24"/>
              </w:rPr>
              <w:t>23,7</w:t>
            </w:r>
          </w:p>
        </w:tc>
      </w:tr>
      <w:tr w:rsidR="008619A6" w:rsidRPr="007C50D0" w:rsidTr="00C414DD">
        <w:trPr>
          <w:trHeight w:val="66"/>
        </w:trPr>
        <w:tc>
          <w:tcPr>
            <w:tcW w:w="3686" w:type="dxa"/>
            <w:vAlign w:val="center"/>
          </w:tcPr>
          <w:p w:rsidR="008619A6" w:rsidRPr="007C50D0" w:rsidRDefault="008619A6" w:rsidP="008619A6">
            <w:pPr>
              <w:contextualSpacing/>
              <w:jc w:val="center"/>
              <w:rPr>
                <w:b/>
                <w:sz w:val="24"/>
                <w:szCs w:val="24"/>
              </w:rPr>
            </w:pPr>
            <w:r w:rsidRPr="007C50D0">
              <w:rPr>
                <w:b/>
                <w:sz w:val="24"/>
                <w:szCs w:val="24"/>
              </w:rPr>
              <w:t>Административное</w:t>
            </w:r>
          </w:p>
        </w:tc>
        <w:tc>
          <w:tcPr>
            <w:tcW w:w="1276" w:type="dxa"/>
            <w:vAlign w:val="center"/>
          </w:tcPr>
          <w:p w:rsidR="008619A6" w:rsidRPr="007C50D0" w:rsidRDefault="008619A6" w:rsidP="008619A6">
            <w:pPr>
              <w:contextualSpacing/>
              <w:jc w:val="center"/>
              <w:rPr>
                <w:i/>
                <w:iCs/>
                <w:sz w:val="24"/>
                <w:szCs w:val="24"/>
              </w:rPr>
            </w:pPr>
          </w:p>
        </w:tc>
        <w:tc>
          <w:tcPr>
            <w:tcW w:w="993" w:type="dxa"/>
            <w:vAlign w:val="center"/>
          </w:tcPr>
          <w:p w:rsidR="008619A6" w:rsidRPr="007C50D0" w:rsidRDefault="008619A6" w:rsidP="008619A6">
            <w:pPr>
              <w:contextualSpacing/>
              <w:jc w:val="center"/>
              <w:rPr>
                <w:i/>
                <w:iCs/>
                <w:sz w:val="24"/>
                <w:szCs w:val="24"/>
              </w:rPr>
            </w:pPr>
          </w:p>
        </w:tc>
        <w:tc>
          <w:tcPr>
            <w:tcW w:w="1275" w:type="dxa"/>
            <w:vAlign w:val="center"/>
          </w:tcPr>
          <w:p w:rsidR="008619A6" w:rsidRPr="007C50D0" w:rsidRDefault="008619A6" w:rsidP="008619A6">
            <w:pPr>
              <w:contextualSpacing/>
              <w:jc w:val="center"/>
              <w:rPr>
                <w:i/>
                <w:iCs/>
                <w:sz w:val="24"/>
                <w:szCs w:val="24"/>
              </w:rPr>
            </w:pPr>
          </w:p>
        </w:tc>
        <w:tc>
          <w:tcPr>
            <w:tcW w:w="1134" w:type="dxa"/>
            <w:vAlign w:val="center"/>
          </w:tcPr>
          <w:p w:rsidR="008619A6" w:rsidRPr="007C50D0" w:rsidRDefault="008619A6" w:rsidP="008619A6">
            <w:pPr>
              <w:contextualSpacing/>
              <w:jc w:val="center"/>
              <w:rPr>
                <w:i/>
                <w:sz w:val="24"/>
                <w:szCs w:val="24"/>
              </w:rPr>
            </w:pPr>
            <w:r w:rsidRPr="007C50D0">
              <w:rPr>
                <w:i/>
                <w:sz w:val="24"/>
                <w:szCs w:val="24"/>
              </w:rPr>
              <w:t>6,9</w:t>
            </w:r>
          </w:p>
        </w:tc>
        <w:tc>
          <w:tcPr>
            <w:tcW w:w="850" w:type="dxa"/>
            <w:vAlign w:val="center"/>
          </w:tcPr>
          <w:p w:rsidR="008619A6" w:rsidRPr="007C50D0" w:rsidRDefault="008619A6" w:rsidP="008619A6">
            <w:pPr>
              <w:contextualSpacing/>
              <w:jc w:val="center"/>
              <w:rPr>
                <w:i/>
                <w:sz w:val="24"/>
                <w:szCs w:val="24"/>
              </w:rPr>
            </w:pPr>
            <w:r w:rsidRPr="007C50D0">
              <w:rPr>
                <w:i/>
                <w:sz w:val="24"/>
                <w:szCs w:val="24"/>
              </w:rPr>
              <w:t>2,7</w:t>
            </w:r>
          </w:p>
        </w:tc>
      </w:tr>
      <w:tr w:rsidR="008619A6" w:rsidRPr="007C50D0" w:rsidTr="00C414DD">
        <w:trPr>
          <w:trHeight w:val="247"/>
        </w:trPr>
        <w:tc>
          <w:tcPr>
            <w:tcW w:w="3686" w:type="dxa"/>
            <w:vAlign w:val="center"/>
          </w:tcPr>
          <w:p w:rsidR="008619A6" w:rsidRPr="007C50D0" w:rsidRDefault="008619A6" w:rsidP="008619A6">
            <w:pPr>
              <w:contextualSpacing/>
              <w:jc w:val="center"/>
              <w:rPr>
                <w:b/>
                <w:sz w:val="24"/>
                <w:szCs w:val="24"/>
              </w:rPr>
            </w:pPr>
            <w:r w:rsidRPr="007C50D0">
              <w:rPr>
                <w:b/>
                <w:sz w:val="24"/>
                <w:szCs w:val="24"/>
              </w:rPr>
              <w:t>По делам об АП</w:t>
            </w:r>
          </w:p>
        </w:tc>
        <w:tc>
          <w:tcPr>
            <w:tcW w:w="1276" w:type="dxa"/>
            <w:vAlign w:val="center"/>
          </w:tcPr>
          <w:p w:rsidR="008619A6" w:rsidRPr="007C50D0" w:rsidRDefault="008619A6" w:rsidP="008619A6">
            <w:pPr>
              <w:contextualSpacing/>
              <w:jc w:val="center"/>
              <w:rPr>
                <w:i/>
                <w:iCs/>
                <w:sz w:val="24"/>
                <w:szCs w:val="24"/>
              </w:rPr>
            </w:pPr>
            <w:r w:rsidRPr="007C50D0">
              <w:rPr>
                <w:i/>
                <w:iCs/>
                <w:sz w:val="24"/>
                <w:szCs w:val="24"/>
              </w:rPr>
              <w:t>4,8</w:t>
            </w:r>
          </w:p>
        </w:tc>
        <w:tc>
          <w:tcPr>
            <w:tcW w:w="993" w:type="dxa"/>
            <w:vAlign w:val="center"/>
          </w:tcPr>
          <w:p w:rsidR="008619A6" w:rsidRPr="007C50D0" w:rsidRDefault="008619A6" w:rsidP="008619A6">
            <w:pPr>
              <w:contextualSpacing/>
              <w:jc w:val="center"/>
              <w:rPr>
                <w:i/>
                <w:iCs/>
                <w:sz w:val="24"/>
                <w:szCs w:val="24"/>
              </w:rPr>
            </w:pPr>
            <w:r w:rsidRPr="007C50D0">
              <w:rPr>
                <w:i/>
                <w:iCs/>
                <w:sz w:val="24"/>
                <w:szCs w:val="24"/>
              </w:rPr>
              <w:t>5,0</w:t>
            </w:r>
          </w:p>
        </w:tc>
        <w:tc>
          <w:tcPr>
            <w:tcW w:w="1275" w:type="dxa"/>
            <w:vAlign w:val="center"/>
          </w:tcPr>
          <w:p w:rsidR="008619A6" w:rsidRPr="007C50D0" w:rsidRDefault="008619A6" w:rsidP="008619A6">
            <w:pPr>
              <w:contextualSpacing/>
              <w:jc w:val="center"/>
              <w:rPr>
                <w:i/>
                <w:iCs/>
                <w:sz w:val="24"/>
                <w:szCs w:val="24"/>
              </w:rPr>
            </w:pPr>
            <w:r w:rsidRPr="007C50D0">
              <w:rPr>
                <w:i/>
                <w:iCs/>
                <w:sz w:val="24"/>
                <w:szCs w:val="24"/>
              </w:rPr>
              <w:t>4,7</w:t>
            </w:r>
          </w:p>
        </w:tc>
        <w:tc>
          <w:tcPr>
            <w:tcW w:w="1134" w:type="dxa"/>
            <w:vAlign w:val="center"/>
          </w:tcPr>
          <w:p w:rsidR="008619A6" w:rsidRPr="007C50D0" w:rsidRDefault="008619A6" w:rsidP="008619A6">
            <w:pPr>
              <w:contextualSpacing/>
              <w:jc w:val="center"/>
              <w:rPr>
                <w:i/>
                <w:sz w:val="24"/>
                <w:szCs w:val="24"/>
              </w:rPr>
            </w:pPr>
            <w:r w:rsidRPr="007C50D0">
              <w:rPr>
                <w:i/>
                <w:sz w:val="24"/>
                <w:szCs w:val="24"/>
              </w:rPr>
              <w:t>5,1</w:t>
            </w:r>
          </w:p>
        </w:tc>
        <w:tc>
          <w:tcPr>
            <w:tcW w:w="850" w:type="dxa"/>
            <w:vAlign w:val="center"/>
          </w:tcPr>
          <w:p w:rsidR="008619A6" w:rsidRPr="007C50D0" w:rsidRDefault="008619A6" w:rsidP="008619A6">
            <w:pPr>
              <w:contextualSpacing/>
              <w:jc w:val="center"/>
              <w:rPr>
                <w:i/>
                <w:sz w:val="24"/>
                <w:szCs w:val="24"/>
              </w:rPr>
            </w:pPr>
            <w:r w:rsidRPr="007C50D0">
              <w:rPr>
                <w:i/>
                <w:sz w:val="24"/>
                <w:szCs w:val="24"/>
              </w:rPr>
              <w:t>5,5</w:t>
            </w:r>
          </w:p>
        </w:tc>
      </w:tr>
      <w:tr w:rsidR="008619A6" w:rsidRPr="007C50D0" w:rsidTr="00C414DD">
        <w:trPr>
          <w:trHeight w:val="247"/>
        </w:trPr>
        <w:tc>
          <w:tcPr>
            <w:tcW w:w="3686" w:type="dxa"/>
            <w:vAlign w:val="center"/>
          </w:tcPr>
          <w:p w:rsidR="008619A6" w:rsidRPr="007C50D0" w:rsidRDefault="008619A6" w:rsidP="008619A6">
            <w:pPr>
              <w:contextualSpacing/>
              <w:jc w:val="center"/>
              <w:rPr>
                <w:b/>
                <w:sz w:val="24"/>
                <w:szCs w:val="24"/>
              </w:rPr>
            </w:pPr>
            <w:r w:rsidRPr="007C50D0">
              <w:rPr>
                <w:b/>
                <w:sz w:val="24"/>
                <w:szCs w:val="24"/>
              </w:rPr>
              <w:t>Количество судей</w:t>
            </w:r>
          </w:p>
        </w:tc>
        <w:tc>
          <w:tcPr>
            <w:tcW w:w="1276" w:type="dxa"/>
            <w:vAlign w:val="center"/>
          </w:tcPr>
          <w:p w:rsidR="008619A6" w:rsidRPr="007C50D0" w:rsidRDefault="008619A6" w:rsidP="008619A6">
            <w:pPr>
              <w:contextualSpacing/>
              <w:jc w:val="center"/>
              <w:rPr>
                <w:i/>
                <w:sz w:val="24"/>
                <w:szCs w:val="24"/>
              </w:rPr>
            </w:pPr>
            <w:r w:rsidRPr="007C50D0">
              <w:rPr>
                <w:i/>
                <w:sz w:val="24"/>
                <w:szCs w:val="24"/>
              </w:rPr>
              <w:t>370</w:t>
            </w:r>
          </w:p>
        </w:tc>
        <w:tc>
          <w:tcPr>
            <w:tcW w:w="993" w:type="dxa"/>
            <w:vAlign w:val="center"/>
          </w:tcPr>
          <w:p w:rsidR="008619A6" w:rsidRPr="007C50D0" w:rsidRDefault="008619A6" w:rsidP="008619A6">
            <w:pPr>
              <w:contextualSpacing/>
              <w:jc w:val="center"/>
              <w:rPr>
                <w:i/>
                <w:sz w:val="24"/>
                <w:szCs w:val="24"/>
              </w:rPr>
            </w:pPr>
            <w:r w:rsidRPr="007C50D0">
              <w:rPr>
                <w:i/>
                <w:sz w:val="24"/>
                <w:szCs w:val="24"/>
              </w:rPr>
              <w:t>370</w:t>
            </w:r>
          </w:p>
        </w:tc>
        <w:tc>
          <w:tcPr>
            <w:tcW w:w="1275" w:type="dxa"/>
            <w:vAlign w:val="center"/>
          </w:tcPr>
          <w:p w:rsidR="008619A6" w:rsidRPr="007C50D0" w:rsidRDefault="008619A6" w:rsidP="008619A6">
            <w:pPr>
              <w:contextualSpacing/>
              <w:jc w:val="center"/>
              <w:rPr>
                <w:i/>
                <w:sz w:val="24"/>
                <w:szCs w:val="24"/>
              </w:rPr>
            </w:pPr>
            <w:r w:rsidRPr="007C50D0">
              <w:rPr>
                <w:i/>
                <w:sz w:val="24"/>
                <w:szCs w:val="24"/>
              </w:rPr>
              <w:t>370</w:t>
            </w:r>
          </w:p>
        </w:tc>
        <w:tc>
          <w:tcPr>
            <w:tcW w:w="1134" w:type="dxa"/>
            <w:vAlign w:val="center"/>
          </w:tcPr>
          <w:p w:rsidR="008619A6" w:rsidRPr="007C50D0" w:rsidRDefault="008619A6" w:rsidP="008619A6">
            <w:pPr>
              <w:contextualSpacing/>
              <w:jc w:val="center"/>
              <w:rPr>
                <w:i/>
                <w:sz w:val="24"/>
                <w:szCs w:val="24"/>
              </w:rPr>
            </w:pPr>
            <w:r w:rsidRPr="007C50D0">
              <w:rPr>
                <w:i/>
                <w:sz w:val="24"/>
                <w:szCs w:val="24"/>
              </w:rPr>
              <w:t>370</w:t>
            </w:r>
          </w:p>
        </w:tc>
        <w:tc>
          <w:tcPr>
            <w:tcW w:w="850" w:type="dxa"/>
            <w:vAlign w:val="center"/>
          </w:tcPr>
          <w:p w:rsidR="008619A6" w:rsidRPr="007C50D0" w:rsidRDefault="008619A6" w:rsidP="008619A6">
            <w:pPr>
              <w:contextualSpacing/>
              <w:jc w:val="center"/>
              <w:rPr>
                <w:i/>
                <w:sz w:val="24"/>
                <w:szCs w:val="24"/>
              </w:rPr>
            </w:pPr>
            <w:r w:rsidRPr="007C50D0">
              <w:rPr>
                <w:i/>
                <w:sz w:val="24"/>
                <w:szCs w:val="24"/>
              </w:rPr>
              <w:t>371</w:t>
            </w:r>
          </w:p>
        </w:tc>
      </w:tr>
    </w:tbl>
    <w:p w:rsidR="008619A6" w:rsidRDefault="008619A6" w:rsidP="008619A6">
      <w:pPr>
        <w:ind w:firstLine="900"/>
        <w:contextualSpacing/>
        <w:jc w:val="both"/>
        <w:rPr>
          <w:sz w:val="24"/>
          <w:szCs w:val="24"/>
        </w:rPr>
      </w:pPr>
    </w:p>
    <w:p w:rsidR="007C50D0" w:rsidRPr="007C50D0" w:rsidRDefault="007C50D0" w:rsidP="008619A6">
      <w:pPr>
        <w:ind w:firstLine="900"/>
        <w:contextualSpacing/>
        <w:jc w:val="both"/>
        <w:rPr>
          <w:sz w:val="24"/>
          <w:szCs w:val="24"/>
        </w:rPr>
      </w:pPr>
      <w:r w:rsidRPr="007C50D0">
        <w:rPr>
          <w:sz w:val="24"/>
          <w:szCs w:val="24"/>
        </w:rPr>
        <w:t xml:space="preserve">                                                                                                       Диаграмма 1</w:t>
      </w:r>
      <w:r w:rsidR="00C02904">
        <w:rPr>
          <w:sz w:val="24"/>
          <w:szCs w:val="24"/>
        </w:rPr>
        <w:t>4</w:t>
      </w:r>
    </w:p>
    <w:p w:rsidR="007C50D0" w:rsidRPr="007C50D0" w:rsidRDefault="007C50D0" w:rsidP="008619A6">
      <w:pPr>
        <w:ind w:firstLine="900"/>
        <w:contextualSpacing/>
        <w:jc w:val="both"/>
        <w:rPr>
          <w:noProof/>
        </w:rPr>
      </w:pPr>
      <w:r>
        <w:rPr>
          <w:noProof/>
        </w:rPr>
        <w:drawing>
          <wp:inline distT="0" distB="0" distL="0" distR="0" wp14:anchorId="495A76A9" wp14:editId="2E870996">
            <wp:extent cx="4810897" cy="2257167"/>
            <wp:effectExtent l="0" t="0" r="27940" b="1016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50D0" w:rsidRPr="007C50D0" w:rsidRDefault="007C50D0" w:rsidP="008619A6">
      <w:pPr>
        <w:ind w:firstLine="900"/>
        <w:contextualSpacing/>
        <w:jc w:val="both"/>
        <w:rPr>
          <w:sz w:val="28"/>
          <w:szCs w:val="28"/>
        </w:rPr>
      </w:pPr>
      <w:r w:rsidRPr="007C50D0">
        <w:rPr>
          <w:sz w:val="28"/>
          <w:szCs w:val="28"/>
        </w:rPr>
        <w:lastRenderedPageBreak/>
        <w:t>Представленная в таблице и на диаграмме динамика изменения данного показателя за последние пять лет демонстрирует сложившуюся тенденцию роста при рассмотрении дел об административных правонарушениях. В уголовном и гражданском производстве, напротив, наблюдается спад нагрузки.</w:t>
      </w:r>
    </w:p>
    <w:p w:rsidR="007C50D0" w:rsidRPr="007C50D0" w:rsidRDefault="007C50D0" w:rsidP="008619A6">
      <w:pPr>
        <w:ind w:firstLine="900"/>
        <w:contextualSpacing/>
        <w:jc w:val="both"/>
        <w:rPr>
          <w:sz w:val="28"/>
          <w:szCs w:val="28"/>
        </w:rPr>
      </w:pPr>
      <w:proofErr w:type="gramStart"/>
      <w:r w:rsidRPr="007C50D0">
        <w:rPr>
          <w:sz w:val="28"/>
          <w:szCs w:val="28"/>
        </w:rPr>
        <w:t>Нагрузка на судей в Республике Татарстан в 2017 году выше среднего значения данного показателя по Приволжскому федеральному округу на 0,7 единиц — в уголовном производстве, на 4,8 — в гражданском и административном, а также на 13,3 — в производстве по административным правонарушениям.</w:t>
      </w:r>
      <w:proofErr w:type="gramEnd"/>
    </w:p>
    <w:p w:rsidR="007C50D0" w:rsidRDefault="007C50D0" w:rsidP="008619A6">
      <w:pPr>
        <w:ind w:firstLine="900"/>
        <w:contextualSpacing/>
        <w:jc w:val="both"/>
        <w:rPr>
          <w:sz w:val="28"/>
          <w:szCs w:val="28"/>
        </w:rPr>
      </w:pPr>
      <w:r w:rsidRPr="007C50D0">
        <w:rPr>
          <w:sz w:val="28"/>
          <w:szCs w:val="28"/>
        </w:rPr>
        <w:t>С учетом большого количества дел, рассмотренных в апелляционной инстанции, и материалов введен такой показатель как «Нагрузка общая», отражающий степень полной служебной загруженности судей районных (городских) судов республики и аппарата судов.</w:t>
      </w:r>
    </w:p>
    <w:p w:rsidR="00663C3C" w:rsidRPr="007C50D0" w:rsidRDefault="00663C3C" w:rsidP="008619A6">
      <w:pPr>
        <w:ind w:firstLine="900"/>
        <w:contextualSpacing/>
        <w:jc w:val="both"/>
        <w:rPr>
          <w:sz w:val="28"/>
          <w:szCs w:val="28"/>
        </w:rPr>
      </w:pPr>
    </w:p>
    <w:p w:rsidR="007C50D0" w:rsidRPr="007C50D0" w:rsidRDefault="007C50D0" w:rsidP="008619A6">
      <w:pPr>
        <w:ind w:firstLine="900"/>
        <w:contextualSpacing/>
        <w:jc w:val="both"/>
        <w:rPr>
          <w:sz w:val="28"/>
          <w:szCs w:val="28"/>
        </w:rPr>
      </w:pPr>
      <w:r w:rsidRPr="007C50D0">
        <w:rPr>
          <w:sz w:val="24"/>
          <w:szCs w:val="24"/>
        </w:rPr>
        <w:t xml:space="preserve">                                                                                                          Таблица </w:t>
      </w:r>
      <w:r w:rsidR="00C02904">
        <w:rPr>
          <w:sz w:val="24"/>
          <w:szCs w:val="24"/>
        </w:rPr>
        <w:t>1</w:t>
      </w:r>
      <w:r w:rsidRPr="007C50D0">
        <w:rPr>
          <w:sz w:val="24"/>
          <w:szCs w:val="24"/>
        </w:rPr>
        <w:t>2.1</w:t>
      </w:r>
    </w:p>
    <w:tbl>
      <w:tblPr>
        <w:tblpPr w:leftFromText="180" w:rightFromText="180" w:vertAnchor="text" w:horzAnchor="page" w:tblpX="1978" w:tblpY="11"/>
        <w:tblW w:w="9056"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3369"/>
        <w:gridCol w:w="1241"/>
        <w:gridCol w:w="992"/>
        <w:gridCol w:w="1134"/>
        <w:gridCol w:w="1134"/>
        <w:gridCol w:w="1186"/>
      </w:tblGrid>
      <w:tr w:rsidR="007C50D0" w:rsidRPr="007C50D0" w:rsidTr="00F46C7B">
        <w:trPr>
          <w:trHeight w:val="254"/>
        </w:trPr>
        <w:tc>
          <w:tcPr>
            <w:tcW w:w="9056" w:type="dxa"/>
            <w:gridSpan w:val="6"/>
            <w:tcBorders>
              <w:top w:val="double" w:sz="4" w:space="0" w:color="auto"/>
              <w:bottom w:val="single" w:sz="4" w:space="0" w:color="auto"/>
            </w:tcBorders>
            <w:shd w:val="clear" w:color="auto" w:fill="auto"/>
            <w:vAlign w:val="center"/>
          </w:tcPr>
          <w:p w:rsidR="007C50D0" w:rsidRPr="007C50D0" w:rsidRDefault="007C50D0" w:rsidP="00F46C7B">
            <w:pPr>
              <w:ind w:right="247"/>
              <w:contextualSpacing/>
              <w:jc w:val="center"/>
              <w:rPr>
                <w:b/>
                <w:sz w:val="24"/>
                <w:szCs w:val="24"/>
              </w:rPr>
            </w:pPr>
            <w:r w:rsidRPr="007C50D0">
              <w:rPr>
                <w:b/>
                <w:sz w:val="24"/>
                <w:szCs w:val="24"/>
              </w:rPr>
              <w:t>Нагрузка общая за 12 месяцев</w:t>
            </w:r>
          </w:p>
        </w:tc>
      </w:tr>
      <w:tr w:rsidR="007C50D0" w:rsidRPr="007C50D0" w:rsidTr="00F46C7B">
        <w:tc>
          <w:tcPr>
            <w:tcW w:w="3369" w:type="dxa"/>
            <w:tcBorders>
              <w:top w:val="single" w:sz="4" w:space="0" w:color="auto"/>
              <w:bottom w:val="thickThinLargeGap" w:sz="24" w:space="0" w:color="auto"/>
            </w:tcBorders>
            <w:shd w:val="clear" w:color="auto" w:fill="auto"/>
            <w:vAlign w:val="center"/>
          </w:tcPr>
          <w:p w:rsidR="007C50D0" w:rsidRPr="007C50D0" w:rsidRDefault="007C50D0" w:rsidP="00F46C7B">
            <w:pPr>
              <w:contextualSpacing/>
              <w:jc w:val="center"/>
              <w:rPr>
                <w:b/>
                <w:sz w:val="24"/>
                <w:szCs w:val="24"/>
              </w:rPr>
            </w:pPr>
            <w:r w:rsidRPr="007C50D0">
              <w:rPr>
                <w:b/>
                <w:sz w:val="24"/>
                <w:szCs w:val="24"/>
              </w:rPr>
              <w:t>Судопроизводство</w:t>
            </w:r>
          </w:p>
        </w:tc>
        <w:tc>
          <w:tcPr>
            <w:tcW w:w="1241" w:type="dxa"/>
            <w:tcBorders>
              <w:top w:val="single" w:sz="4" w:space="0" w:color="auto"/>
              <w:bottom w:val="thickThinLargeGap" w:sz="24" w:space="0" w:color="auto"/>
            </w:tcBorders>
            <w:shd w:val="clear" w:color="auto" w:fill="auto"/>
            <w:vAlign w:val="center"/>
          </w:tcPr>
          <w:p w:rsidR="007C50D0" w:rsidRPr="007C50D0" w:rsidRDefault="007C50D0" w:rsidP="00F46C7B">
            <w:pPr>
              <w:contextualSpacing/>
              <w:jc w:val="center"/>
              <w:rPr>
                <w:b/>
                <w:sz w:val="24"/>
                <w:szCs w:val="24"/>
              </w:rPr>
            </w:pPr>
            <w:r w:rsidRPr="007C50D0">
              <w:rPr>
                <w:b/>
                <w:sz w:val="24"/>
                <w:szCs w:val="24"/>
              </w:rPr>
              <w:t>2013</w:t>
            </w:r>
          </w:p>
        </w:tc>
        <w:tc>
          <w:tcPr>
            <w:tcW w:w="992" w:type="dxa"/>
            <w:tcBorders>
              <w:top w:val="single" w:sz="4" w:space="0" w:color="auto"/>
              <w:bottom w:val="thickThinLargeGap" w:sz="24" w:space="0" w:color="auto"/>
            </w:tcBorders>
            <w:shd w:val="clear" w:color="auto" w:fill="auto"/>
            <w:vAlign w:val="center"/>
          </w:tcPr>
          <w:p w:rsidR="007C50D0" w:rsidRPr="007C50D0" w:rsidRDefault="007C50D0" w:rsidP="00F46C7B">
            <w:pPr>
              <w:contextualSpacing/>
              <w:jc w:val="center"/>
              <w:rPr>
                <w:b/>
                <w:sz w:val="24"/>
                <w:szCs w:val="24"/>
              </w:rPr>
            </w:pPr>
            <w:r w:rsidRPr="007C50D0">
              <w:rPr>
                <w:b/>
                <w:sz w:val="24"/>
                <w:szCs w:val="24"/>
              </w:rPr>
              <w:t>2014</w:t>
            </w:r>
          </w:p>
        </w:tc>
        <w:tc>
          <w:tcPr>
            <w:tcW w:w="1134" w:type="dxa"/>
            <w:tcBorders>
              <w:top w:val="single" w:sz="4" w:space="0" w:color="auto"/>
              <w:bottom w:val="thickThinLargeGap" w:sz="24" w:space="0" w:color="auto"/>
            </w:tcBorders>
            <w:shd w:val="clear" w:color="auto" w:fill="auto"/>
            <w:vAlign w:val="center"/>
          </w:tcPr>
          <w:p w:rsidR="007C50D0" w:rsidRPr="007C50D0" w:rsidRDefault="007C50D0" w:rsidP="00F46C7B">
            <w:pPr>
              <w:contextualSpacing/>
              <w:jc w:val="center"/>
              <w:rPr>
                <w:b/>
                <w:sz w:val="24"/>
                <w:szCs w:val="24"/>
              </w:rPr>
            </w:pPr>
            <w:r w:rsidRPr="007C50D0">
              <w:rPr>
                <w:b/>
                <w:sz w:val="24"/>
                <w:szCs w:val="24"/>
              </w:rPr>
              <w:t>2015</w:t>
            </w:r>
          </w:p>
        </w:tc>
        <w:tc>
          <w:tcPr>
            <w:tcW w:w="1134" w:type="dxa"/>
            <w:tcBorders>
              <w:top w:val="single" w:sz="4" w:space="0" w:color="auto"/>
              <w:bottom w:val="thickThinLargeGap" w:sz="24" w:space="0" w:color="auto"/>
            </w:tcBorders>
            <w:shd w:val="clear" w:color="auto" w:fill="auto"/>
            <w:vAlign w:val="center"/>
          </w:tcPr>
          <w:p w:rsidR="007C50D0" w:rsidRPr="007C50D0" w:rsidRDefault="007C50D0" w:rsidP="00F46C7B">
            <w:pPr>
              <w:contextualSpacing/>
              <w:jc w:val="center"/>
              <w:rPr>
                <w:b/>
                <w:sz w:val="24"/>
                <w:szCs w:val="24"/>
              </w:rPr>
            </w:pPr>
            <w:r w:rsidRPr="007C50D0">
              <w:rPr>
                <w:b/>
                <w:sz w:val="24"/>
                <w:szCs w:val="24"/>
              </w:rPr>
              <w:t>2016</w:t>
            </w:r>
          </w:p>
        </w:tc>
        <w:tc>
          <w:tcPr>
            <w:tcW w:w="1186" w:type="dxa"/>
            <w:tcBorders>
              <w:top w:val="single" w:sz="4" w:space="0" w:color="auto"/>
              <w:bottom w:val="thickThinLargeGap" w:sz="24" w:space="0" w:color="auto"/>
            </w:tcBorders>
            <w:shd w:val="clear" w:color="auto" w:fill="auto"/>
            <w:vAlign w:val="center"/>
          </w:tcPr>
          <w:p w:rsidR="007C50D0" w:rsidRPr="007C50D0" w:rsidRDefault="007C50D0" w:rsidP="00F46C7B">
            <w:pPr>
              <w:contextualSpacing/>
              <w:jc w:val="center"/>
              <w:rPr>
                <w:b/>
                <w:sz w:val="24"/>
                <w:szCs w:val="24"/>
              </w:rPr>
            </w:pPr>
            <w:r w:rsidRPr="007C50D0">
              <w:rPr>
                <w:b/>
                <w:sz w:val="24"/>
                <w:szCs w:val="24"/>
              </w:rPr>
              <w:t>2017</w:t>
            </w:r>
          </w:p>
        </w:tc>
      </w:tr>
      <w:tr w:rsidR="007C50D0" w:rsidRPr="007C50D0" w:rsidTr="00F46C7B">
        <w:trPr>
          <w:trHeight w:val="17"/>
        </w:trPr>
        <w:tc>
          <w:tcPr>
            <w:tcW w:w="3369" w:type="dxa"/>
            <w:tcBorders>
              <w:top w:val="thickThinLargeGap" w:sz="24" w:space="0" w:color="auto"/>
            </w:tcBorders>
            <w:vAlign w:val="center"/>
          </w:tcPr>
          <w:p w:rsidR="007C50D0" w:rsidRPr="007C50D0" w:rsidRDefault="007C50D0" w:rsidP="00F46C7B">
            <w:pPr>
              <w:contextualSpacing/>
              <w:jc w:val="center"/>
              <w:rPr>
                <w:b/>
                <w:sz w:val="24"/>
                <w:szCs w:val="24"/>
              </w:rPr>
            </w:pPr>
            <w:r w:rsidRPr="007C50D0">
              <w:rPr>
                <w:b/>
                <w:sz w:val="24"/>
                <w:szCs w:val="24"/>
              </w:rPr>
              <w:t>Уголовное</w:t>
            </w:r>
          </w:p>
        </w:tc>
        <w:tc>
          <w:tcPr>
            <w:tcW w:w="1241" w:type="dxa"/>
            <w:tcBorders>
              <w:top w:val="thickThinLargeGap" w:sz="24" w:space="0" w:color="auto"/>
            </w:tcBorders>
            <w:vAlign w:val="center"/>
          </w:tcPr>
          <w:p w:rsidR="007C50D0" w:rsidRPr="007C50D0" w:rsidRDefault="007C50D0" w:rsidP="00F46C7B">
            <w:pPr>
              <w:contextualSpacing/>
              <w:jc w:val="center"/>
              <w:rPr>
                <w:i/>
                <w:iCs/>
                <w:sz w:val="24"/>
                <w:szCs w:val="24"/>
              </w:rPr>
            </w:pPr>
            <w:r w:rsidRPr="007C50D0">
              <w:rPr>
                <w:i/>
                <w:iCs/>
                <w:sz w:val="24"/>
                <w:szCs w:val="24"/>
              </w:rPr>
              <w:t>18,2</w:t>
            </w:r>
          </w:p>
        </w:tc>
        <w:tc>
          <w:tcPr>
            <w:tcW w:w="992" w:type="dxa"/>
            <w:tcBorders>
              <w:top w:val="thickThinLargeGap" w:sz="24" w:space="0" w:color="auto"/>
            </w:tcBorders>
            <w:vAlign w:val="center"/>
          </w:tcPr>
          <w:p w:rsidR="007C50D0" w:rsidRPr="007C50D0" w:rsidRDefault="007C50D0" w:rsidP="00F46C7B">
            <w:pPr>
              <w:contextualSpacing/>
              <w:jc w:val="center"/>
              <w:rPr>
                <w:i/>
                <w:iCs/>
                <w:sz w:val="24"/>
                <w:szCs w:val="24"/>
              </w:rPr>
            </w:pPr>
            <w:r w:rsidRPr="007C50D0">
              <w:rPr>
                <w:i/>
                <w:iCs/>
                <w:sz w:val="24"/>
                <w:szCs w:val="24"/>
              </w:rPr>
              <w:t>20,4</w:t>
            </w:r>
          </w:p>
        </w:tc>
        <w:tc>
          <w:tcPr>
            <w:tcW w:w="1134" w:type="dxa"/>
            <w:tcBorders>
              <w:top w:val="thickThinLargeGap" w:sz="24" w:space="0" w:color="auto"/>
            </w:tcBorders>
            <w:vAlign w:val="center"/>
          </w:tcPr>
          <w:p w:rsidR="007C50D0" w:rsidRPr="007C50D0" w:rsidRDefault="007C50D0" w:rsidP="00F46C7B">
            <w:pPr>
              <w:contextualSpacing/>
              <w:jc w:val="center"/>
              <w:rPr>
                <w:i/>
                <w:iCs/>
                <w:sz w:val="24"/>
                <w:szCs w:val="24"/>
              </w:rPr>
            </w:pPr>
            <w:r w:rsidRPr="007C50D0">
              <w:rPr>
                <w:i/>
                <w:iCs/>
                <w:sz w:val="24"/>
                <w:szCs w:val="24"/>
              </w:rPr>
              <w:t>24,3</w:t>
            </w:r>
          </w:p>
        </w:tc>
        <w:tc>
          <w:tcPr>
            <w:tcW w:w="1134" w:type="dxa"/>
            <w:tcBorders>
              <w:top w:val="thickThinLargeGap" w:sz="24" w:space="0" w:color="auto"/>
            </w:tcBorders>
            <w:vAlign w:val="center"/>
          </w:tcPr>
          <w:p w:rsidR="007C50D0" w:rsidRPr="007C50D0" w:rsidRDefault="007C50D0" w:rsidP="00F46C7B">
            <w:pPr>
              <w:contextualSpacing/>
              <w:jc w:val="center"/>
              <w:rPr>
                <w:i/>
                <w:iCs/>
                <w:sz w:val="24"/>
                <w:szCs w:val="24"/>
              </w:rPr>
            </w:pPr>
            <w:r w:rsidRPr="007C50D0">
              <w:rPr>
                <w:i/>
                <w:iCs/>
                <w:sz w:val="24"/>
                <w:szCs w:val="24"/>
              </w:rPr>
              <w:t>25,3</w:t>
            </w:r>
          </w:p>
        </w:tc>
        <w:tc>
          <w:tcPr>
            <w:tcW w:w="1186" w:type="dxa"/>
            <w:tcBorders>
              <w:top w:val="thickThinLargeGap" w:sz="24" w:space="0" w:color="auto"/>
            </w:tcBorders>
            <w:vAlign w:val="center"/>
          </w:tcPr>
          <w:p w:rsidR="007C50D0" w:rsidRPr="007C50D0" w:rsidRDefault="007C50D0" w:rsidP="00F46C7B">
            <w:pPr>
              <w:contextualSpacing/>
              <w:jc w:val="center"/>
              <w:rPr>
                <w:i/>
                <w:iCs/>
                <w:sz w:val="24"/>
                <w:szCs w:val="24"/>
              </w:rPr>
            </w:pPr>
            <w:r w:rsidRPr="007C50D0">
              <w:rPr>
                <w:i/>
                <w:iCs/>
                <w:sz w:val="24"/>
                <w:szCs w:val="24"/>
              </w:rPr>
              <w:t>24,4</w:t>
            </w:r>
          </w:p>
        </w:tc>
      </w:tr>
      <w:tr w:rsidR="007C50D0" w:rsidRPr="007C50D0" w:rsidTr="00F46C7B">
        <w:trPr>
          <w:trHeight w:val="66"/>
        </w:trPr>
        <w:tc>
          <w:tcPr>
            <w:tcW w:w="3369" w:type="dxa"/>
            <w:vAlign w:val="center"/>
          </w:tcPr>
          <w:p w:rsidR="007C50D0" w:rsidRPr="007C50D0" w:rsidRDefault="007C50D0" w:rsidP="00F46C7B">
            <w:pPr>
              <w:contextualSpacing/>
              <w:jc w:val="center"/>
              <w:rPr>
                <w:b/>
                <w:sz w:val="24"/>
                <w:szCs w:val="24"/>
                <w:lang w:val="en-US"/>
              </w:rPr>
            </w:pPr>
            <w:r w:rsidRPr="007C50D0">
              <w:rPr>
                <w:b/>
                <w:sz w:val="24"/>
                <w:szCs w:val="24"/>
              </w:rPr>
              <w:t>Гражданское</w:t>
            </w:r>
          </w:p>
        </w:tc>
        <w:tc>
          <w:tcPr>
            <w:tcW w:w="1241" w:type="dxa"/>
            <w:vAlign w:val="center"/>
          </w:tcPr>
          <w:p w:rsidR="007C50D0" w:rsidRPr="007C50D0" w:rsidRDefault="007C50D0" w:rsidP="00F46C7B">
            <w:pPr>
              <w:contextualSpacing/>
              <w:jc w:val="center"/>
              <w:rPr>
                <w:i/>
                <w:iCs/>
                <w:sz w:val="24"/>
                <w:szCs w:val="24"/>
              </w:rPr>
            </w:pPr>
            <w:r w:rsidRPr="007C50D0">
              <w:rPr>
                <w:i/>
                <w:iCs/>
                <w:sz w:val="24"/>
                <w:szCs w:val="24"/>
              </w:rPr>
              <w:t>41,0</w:t>
            </w:r>
          </w:p>
        </w:tc>
        <w:tc>
          <w:tcPr>
            <w:tcW w:w="992" w:type="dxa"/>
            <w:vAlign w:val="center"/>
          </w:tcPr>
          <w:p w:rsidR="007C50D0" w:rsidRPr="007C50D0" w:rsidRDefault="007C50D0" w:rsidP="00F46C7B">
            <w:pPr>
              <w:contextualSpacing/>
              <w:jc w:val="center"/>
              <w:rPr>
                <w:i/>
                <w:iCs/>
                <w:sz w:val="24"/>
                <w:szCs w:val="24"/>
              </w:rPr>
            </w:pPr>
            <w:r w:rsidRPr="007C50D0">
              <w:rPr>
                <w:i/>
                <w:iCs/>
                <w:sz w:val="24"/>
                <w:szCs w:val="24"/>
              </w:rPr>
              <w:t>43,5</w:t>
            </w:r>
          </w:p>
        </w:tc>
        <w:tc>
          <w:tcPr>
            <w:tcW w:w="1134" w:type="dxa"/>
            <w:vAlign w:val="center"/>
          </w:tcPr>
          <w:p w:rsidR="007C50D0" w:rsidRPr="007C50D0" w:rsidRDefault="007C50D0" w:rsidP="00F46C7B">
            <w:pPr>
              <w:contextualSpacing/>
              <w:jc w:val="center"/>
              <w:rPr>
                <w:i/>
                <w:iCs/>
                <w:sz w:val="24"/>
                <w:szCs w:val="24"/>
              </w:rPr>
            </w:pPr>
            <w:r w:rsidRPr="007C50D0">
              <w:rPr>
                <w:i/>
                <w:iCs/>
                <w:sz w:val="24"/>
                <w:szCs w:val="24"/>
              </w:rPr>
              <w:t>47,3</w:t>
            </w:r>
          </w:p>
        </w:tc>
        <w:tc>
          <w:tcPr>
            <w:tcW w:w="1134" w:type="dxa"/>
            <w:vAlign w:val="center"/>
          </w:tcPr>
          <w:p w:rsidR="007C50D0" w:rsidRPr="007C50D0" w:rsidRDefault="007C50D0" w:rsidP="00F46C7B">
            <w:pPr>
              <w:contextualSpacing/>
              <w:jc w:val="center"/>
              <w:rPr>
                <w:i/>
                <w:iCs/>
                <w:sz w:val="24"/>
                <w:szCs w:val="24"/>
              </w:rPr>
            </w:pPr>
            <w:r w:rsidRPr="007C50D0">
              <w:rPr>
                <w:i/>
                <w:iCs/>
                <w:sz w:val="24"/>
                <w:szCs w:val="24"/>
              </w:rPr>
              <w:t>36,5</w:t>
            </w:r>
          </w:p>
        </w:tc>
        <w:tc>
          <w:tcPr>
            <w:tcW w:w="1186" w:type="dxa"/>
            <w:vAlign w:val="center"/>
          </w:tcPr>
          <w:p w:rsidR="007C50D0" w:rsidRPr="007C50D0" w:rsidRDefault="007C50D0" w:rsidP="00F46C7B">
            <w:pPr>
              <w:contextualSpacing/>
              <w:jc w:val="center"/>
              <w:rPr>
                <w:i/>
                <w:iCs/>
                <w:sz w:val="24"/>
                <w:szCs w:val="24"/>
              </w:rPr>
            </w:pPr>
            <w:r w:rsidRPr="007C50D0">
              <w:rPr>
                <w:i/>
                <w:iCs/>
                <w:sz w:val="24"/>
                <w:szCs w:val="24"/>
              </w:rPr>
              <w:t>32,2</w:t>
            </w:r>
          </w:p>
        </w:tc>
      </w:tr>
      <w:tr w:rsidR="007C50D0" w:rsidRPr="007C50D0" w:rsidTr="00F46C7B">
        <w:trPr>
          <w:trHeight w:val="66"/>
        </w:trPr>
        <w:tc>
          <w:tcPr>
            <w:tcW w:w="3369" w:type="dxa"/>
            <w:vAlign w:val="center"/>
          </w:tcPr>
          <w:p w:rsidR="007C50D0" w:rsidRPr="007C50D0" w:rsidRDefault="007C50D0" w:rsidP="00F46C7B">
            <w:pPr>
              <w:contextualSpacing/>
              <w:jc w:val="center"/>
              <w:rPr>
                <w:b/>
                <w:sz w:val="24"/>
                <w:szCs w:val="24"/>
              </w:rPr>
            </w:pPr>
            <w:r w:rsidRPr="007C50D0">
              <w:rPr>
                <w:b/>
                <w:sz w:val="24"/>
                <w:szCs w:val="24"/>
              </w:rPr>
              <w:t>Административное</w:t>
            </w:r>
          </w:p>
        </w:tc>
        <w:tc>
          <w:tcPr>
            <w:tcW w:w="1241" w:type="dxa"/>
            <w:vAlign w:val="center"/>
          </w:tcPr>
          <w:p w:rsidR="007C50D0" w:rsidRPr="007C50D0" w:rsidRDefault="007C50D0" w:rsidP="00F46C7B">
            <w:pPr>
              <w:contextualSpacing/>
              <w:jc w:val="center"/>
              <w:rPr>
                <w:i/>
                <w:sz w:val="24"/>
                <w:szCs w:val="24"/>
              </w:rPr>
            </w:pPr>
          </w:p>
        </w:tc>
        <w:tc>
          <w:tcPr>
            <w:tcW w:w="992" w:type="dxa"/>
            <w:vAlign w:val="center"/>
          </w:tcPr>
          <w:p w:rsidR="007C50D0" w:rsidRPr="007C50D0" w:rsidRDefault="007C50D0" w:rsidP="00F46C7B">
            <w:pPr>
              <w:contextualSpacing/>
              <w:jc w:val="center"/>
              <w:rPr>
                <w:i/>
                <w:iCs/>
                <w:sz w:val="24"/>
                <w:szCs w:val="24"/>
              </w:rPr>
            </w:pPr>
          </w:p>
        </w:tc>
        <w:tc>
          <w:tcPr>
            <w:tcW w:w="1134" w:type="dxa"/>
            <w:vAlign w:val="center"/>
          </w:tcPr>
          <w:p w:rsidR="007C50D0" w:rsidRPr="007C50D0" w:rsidRDefault="007C50D0" w:rsidP="00F46C7B">
            <w:pPr>
              <w:contextualSpacing/>
              <w:jc w:val="center"/>
              <w:rPr>
                <w:i/>
                <w:iCs/>
                <w:sz w:val="24"/>
                <w:szCs w:val="24"/>
              </w:rPr>
            </w:pPr>
          </w:p>
        </w:tc>
        <w:tc>
          <w:tcPr>
            <w:tcW w:w="1134" w:type="dxa"/>
            <w:vAlign w:val="center"/>
          </w:tcPr>
          <w:p w:rsidR="007C50D0" w:rsidRPr="007C50D0" w:rsidRDefault="007C50D0" w:rsidP="00F46C7B">
            <w:pPr>
              <w:contextualSpacing/>
              <w:jc w:val="center"/>
              <w:rPr>
                <w:i/>
                <w:iCs/>
                <w:sz w:val="24"/>
                <w:szCs w:val="24"/>
              </w:rPr>
            </w:pPr>
            <w:r w:rsidRPr="007C50D0">
              <w:rPr>
                <w:i/>
                <w:iCs/>
                <w:sz w:val="24"/>
                <w:szCs w:val="24"/>
              </w:rPr>
              <w:t>7,2</w:t>
            </w:r>
          </w:p>
        </w:tc>
        <w:tc>
          <w:tcPr>
            <w:tcW w:w="1186" w:type="dxa"/>
            <w:vAlign w:val="center"/>
          </w:tcPr>
          <w:p w:rsidR="007C50D0" w:rsidRPr="007C50D0" w:rsidRDefault="007C50D0" w:rsidP="00F46C7B">
            <w:pPr>
              <w:contextualSpacing/>
              <w:jc w:val="center"/>
              <w:rPr>
                <w:i/>
                <w:iCs/>
                <w:sz w:val="24"/>
                <w:szCs w:val="24"/>
              </w:rPr>
            </w:pPr>
            <w:r w:rsidRPr="007C50D0">
              <w:rPr>
                <w:i/>
                <w:iCs/>
                <w:sz w:val="24"/>
                <w:szCs w:val="24"/>
              </w:rPr>
              <w:t>3,1</w:t>
            </w:r>
          </w:p>
        </w:tc>
      </w:tr>
      <w:tr w:rsidR="007C50D0" w:rsidRPr="007C50D0" w:rsidTr="00F46C7B">
        <w:trPr>
          <w:trHeight w:val="62"/>
        </w:trPr>
        <w:tc>
          <w:tcPr>
            <w:tcW w:w="3369" w:type="dxa"/>
            <w:vAlign w:val="center"/>
          </w:tcPr>
          <w:p w:rsidR="007C50D0" w:rsidRPr="007C50D0" w:rsidRDefault="007C50D0" w:rsidP="00F46C7B">
            <w:pPr>
              <w:contextualSpacing/>
              <w:jc w:val="center"/>
              <w:rPr>
                <w:b/>
                <w:sz w:val="24"/>
                <w:szCs w:val="24"/>
              </w:rPr>
            </w:pPr>
            <w:r w:rsidRPr="007C50D0">
              <w:rPr>
                <w:b/>
                <w:sz w:val="24"/>
                <w:szCs w:val="24"/>
              </w:rPr>
              <w:t>По делам об АП</w:t>
            </w:r>
          </w:p>
        </w:tc>
        <w:tc>
          <w:tcPr>
            <w:tcW w:w="1241" w:type="dxa"/>
            <w:vAlign w:val="center"/>
          </w:tcPr>
          <w:p w:rsidR="007C50D0" w:rsidRPr="007C50D0" w:rsidRDefault="007C50D0" w:rsidP="00F46C7B">
            <w:pPr>
              <w:contextualSpacing/>
              <w:jc w:val="center"/>
              <w:rPr>
                <w:i/>
                <w:sz w:val="24"/>
                <w:szCs w:val="24"/>
              </w:rPr>
            </w:pPr>
            <w:r w:rsidRPr="007C50D0">
              <w:rPr>
                <w:i/>
                <w:sz w:val="24"/>
                <w:szCs w:val="24"/>
              </w:rPr>
              <w:t>7,9</w:t>
            </w:r>
          </w:p>
        </w:tc>
        <w:tc>
          <w:tcPr>
            <w:tcW w:w="992" w:type="dxa"/>
            <w:vAlign w:val="center"/>
          </w:tcPr>
          <w:p w:rsidR="007C50D0" w:rsidRPr="007C50D0" w:rsidRDefault="007C50D0" w:rsidP="00F46C7B">
            <w:pPr>
              <w:contextualSpacing/>
              <w:jc w:val="center"/>
              <w:rPr>
                <w:i/>
                <w:iCs/>
                <w:sz w:val="24"/>
                <w:szCs w:val="24"/>
              </w:rPr>
            </w:pPr>
            <w:r w:rsidRPr="007C50D0">
              <w:rPr>
                <w:i/>
                <w:iCs/>
                <w:sz w:val="24"/>
                <w:szCs w:val="24"/>
              </w:rPr>
              <w:t>8,9</w:t>
            </w:r>
          </w:p>
        </w:tc>
        <w:tc>
          <w:tcPr>
            <w:tcW w:w="1134" w:type="dxa"/>
            <w:vAlign w:val="center"/>
          </w:tcPr>
          <w:p w:rsidR="007C50D0" w:rsidRPr="007C50D0" w:rsidRDefault="007C50D0" w:rsidP="00F46C7B">
            <w:pPr>
              <w:contextualSpacing/>
              <w:jc w:val="center"/>
              <w:rPr>
                <w:i/>
                <w:iCs/>
                <w:sz w:val="24"/>
                <w:szCs w:val="24"/>
              </w:rPr>
            </w:pPr>
            <w:r w:rsidRPr="007C50D0">
              <w:rPr>
                <w:i/>
                <w:iCs/>
                <w:sz w:val="24"/>
                <w:szCs w:val="24"/>
              </w:rPr>
              <w:t>9,3</w:t>
            </w:r>
          </w:p>
        </w:tc>
        <w:tc>
          <w:tcPr>
            <w:tcW w:w="1134" w:type="dxa"/>
            <w:vAlign w:val="center"/>
          </w:tcPr>
          <w:p w:rsidR="007C50D0" w:rsidRPr="007C50D0" w:rsidRDefault="007C50D0" w:rsidP="00F46C7B">
            <w:pPr>
              <w:contextualSpacing/>
              <w:jc w:val="center"/>
              <w:rPr>
                <w:i/>
                <w:iCs/>
                <w:sz w:val="24"/>
                <w:szCs w:val="24"/>
              </w:rPr>
            </w:pPr>
            <w:r w:rsidRPr="007C50D0">
              <w:rPr>
                <w:i/>
                <w:iCs/>
                <w:sz w:val="24"/>
                <w:szCs w:val="24"/>
              </w:rPr>
              <w:t>9,8</w:t>
            </w:r>
          </w:p>
        </w:tc>
        <w:tc>
          <w:tcPr>
            <w:tcW w:w="1186" w:type="dxa"/>
            <w:vAlign w:val="center"/>
          </w:tcPr>
          <w:p w:rsidR="007C50D0" w:rsidRPr="007C50D0" w:rsidRDefault="007C50D0" w:rsidP="00F46C7B">
            <w:pPr>
              <w:contextualSpacing/>
              <w:jc w:val="center"/>
              <w:rPr>
                <w:i/>
                <w:iCs/>
                <w:sz w:val="24"/>
                <w:szCs w:val="24"/>
              </w:rPr>
            </w:pPr>
            <w:r w:rsidRPr="007C50D0">
              <w:rPr>
                <w:i/>
                <w:iCs/>
                <w:sz w:val="24"/>
                <w:szCs w:val="24"/>
              </w:rPr>
              <w:t>10,2</w:t>
            </w:r>
          </w:p>
        </w:tc>
      </w:tr>
    </w:tbl>
    <w:p w:rsidR="007C50D0" w:rsidRPr="007C50D0" w:rsidRDefault="007C50D0" w:rsidP="008619A6">
      <w:pPr>
        <w:ind w:firstLine="900"/>
        <w:contextualSpacing/>
        <w:jc w:val="both"/>
        <w:rPr>
          <w:sz w:val="28"/>
          <w:szCs w:val="28"/>
        </w:rPr>
      </w:pPr>
      <w:r w:rsidRPr="007C50D0">
        <w:rPr>
          <w:sz w:val="28"/>
          <w:szCs w:val="28"/>
        </w:rPr>
        <w:t>Общая служебная нагрузка судей и аппарата районных (городских) судов в уголовном производстве, по сравнению с 2016 годом, уменьшилась на 3,6%. По административным делам — в 2.3 раза. По гражданским делам уменьшение по отношению к прошлому году составило 11,8%, а по отношению к 2013 году – 21,5%. По делам об административных правонарушениях общая нагрузка за пять лет увеличилась на 29,1%.</w:t>
      </w:r>
    </w:p>
    <w:p w:rsidR="00663C3C" w:rsidRDefault="00663C3C" w:rsidP="008619A6">
      <w:pPr>
        <w:ind w:firstLine="900"/>
        <w:contextualSpacing/>
        <w:jc w:val="both"/>
        <w:rPr>
          <w:sz w:val="28"/>
          <w:szCs w:val="28"/>
          <w:u w:val="single"/>
        </w:rPr>
      </w:pPr>
    </w:p>
    <w:p w:rsidR="007C50D0" w:rsidRPr="007C50D0" w:rsidRDefault="007C50D0" w:rsidP="008619A6">
      <w:pPr>
        <w:ind w:firstLine="900"/>
        <w:contextualSpacing/>
        <w:jc w:val="both"/>
        <w:rPr>
          <w:sz w:val="28"/>
          <w:szCs w:val="28"/>
          <w:u w:val="single"/>
        </w:rPr>
      </w:pPr>
      <w:r w:rsidRPr="007C50D0">
        <w:rPr>
          <w:sz w:val="28"/>
          <w:szCs w:val="28"/>
          <w:u w:val="single"/>
        </w:rPr>
        <w:t>Нарушение процессуальных сроков</w:t>
      </w:r>
    </w:p>
    <w:p w:rsidR="0054239B" w:rsidRPr="007C50D0" w:rsidRDefault="0054239B" w:rsidP="00663C3C">
      <w:pPr>
        <w:ind w:firstLine="851"/>
        <w:contextualSpacing/>
        <w:jc w:val="both"/>
        <w:rPr>
          <w:sz w:val="28"/>
          <w:szCs w:val="28"/>
        </w:rPr>
      </w:pPr>
      <w:r>
        <w:rPr>
          <w:sz w:val="28"/>
          <w:szCs w:val="28"/>
        </w:rPr>
        <w:t>В 2017 году количество уголовных и гражданских дел, рас</w:t>
      </w:r>
      <w:r w:rsidR="00663C3C">
        <w:rPr>
          <w:sz w:val="28"/>
          <w:szCs w:val="28"/>
        </w:rPr>
        <w:t>с</w:t>
      </w:r>
      <w:r>
        <w:rPr>
          <w:sz w:val="28"/>
          <w:szCs w:val="28"/>
        </w:rPr>
        <w:t>мотренных с нарушением срока</w:t>
      </w:r>
      <w:r w:rsidR="00663C3C">
        <w:rPr>
          <w:sz w:val="28"/>
          <w:szCs w:val="28"/>
        </w:rPr>
        <w:t xml:space="preserve">, осталось на прежнем уровне. </w:t>
      </w:r>
      <w:proofErr w:type="gramStart"/>
      <w:r w:rsidR="00663C3C">
        <w:rPr>
          <w:sz w:val="28"/>
          <w:szCs w:val="28"/>
        </w:rPr>
        <w:t>В административном производстве количество таких дел увеличилось на 61,5%.</w:t>
      </w:r>
      <w:r>
        <w:rPr>
          <w:sz w:val="28"/>
          <w:szCs w:val="28"/>
        </w:rPr>
        <w:t xml:space="preserve"> </w:t>
      </w:r>
      <w:r w:rsidRPr="007C50D0">
        <w:rPr>
          <w:sz w:val="28"/>
          <w:szCs w:val="28"/>
        </w:rPr>
        <w:t xml:space="preserve">Анализ динамических рядов методом скользящей средней позволяет говорить о </w:t>
      </w:r>
      <w:proofErr w:type="gramEnd"/>
      <w:r w:rsidRPr="007C50D0">
        <w:rPr>
          <w:sz w:val="28"/>
          <w:szCs w:val="28"/>
        </w:rPr>
        <w:t>сформировавшейся за последние пять лет тенденции снижения значения данного показателя, как в уголовном, так и в гражданском производстве</w:t>
      </w:r>
      <w:proofErr w:type="gramStart"/>
      <w:r w:rsidRPr="007C50D0">
        <w:rPr>
          <w:sz w:val="28"/>
          <w:szCs w:val="28"/>
        </w:rPr>
        <w:t>.</w:t>
      </w:r>
      <w:proofErr w:type="gramEnd"/>
      <w:r w:rsidRPr="007C50D0">
        <w:rPr>
          <w:sz w:val="28"/>
          <w:szCs w:val="28"/>
        </w:rPr>
        <w:t xml:space="preserve"> </w:t>
      </w:r>
      <w:r w:rsidR="00663C3C">
        <w:rPr>
          <w:sz w:val="28"/>
          <w:szCs w:val="28"/>
        </w:rPr>
        <w:t>(</w:t>
      </w:r>
      <w:proofErr w:type="gramStart"/>
      <w:r w:rsidR="00663C3C">
        <w:rPr>
          <w:sz w:val="28"/>
          <w:szCs w:val="28"/>
        </w:rPr>
        <w:t>с</w:t>
      </w:r>
      <w:proofErr w:type="gramEnd"/>
      <w:r w:rsidR="00663C3C">
        <w:rPr>
          <w:sz w:val="28"/>
          <w:szCs w:val="28"/>
        </w:rPr>
        <w:t xml:space="preserve">м. </w:t>
      </w:r>
      <w:r w:rsidR="007C50D0" w:rsidRPr="007C50D0">
        <w:rPr>
          <w:sz w:val="28"/>
          <w:szCs w:val="28"/>
        </w:rPr>
        <w:t xml:space="preserve">Таблице </w:t>
      </w:r>
      <w:r w:rsidR="00663C3C">
        <w:rPr>
          <w:sz w:val="28"/>
          <w:szCs w:val="28"/>
        </w:rPr>
        <w:t>3</w:t>
      </w:r>
      <w:r w:rsidR="007C50D0" w:rsidRPr="007C50D0">
        <w:rPr>
          <w:sz w:val="28"/>
          <w:szCs w:val="28"/>
        </w:rPr>
        <w:t xml:space="preserve"> и График 1</w:t>
      </w:r>
      <w:r w:rsidR="00663C3C">
        <w:rPr>
          <w:sz w:val="28"/>
          <w:szCs w:val="28"/>
        </w:rPr>
        <w:t>).</w:t>
      </w:r>
    </w:p>
    <w:p w:rsidR="007C50D0" w:rsidRPr="007C50D0" w:rsidRDefault="00C02904" w:rsidP="008619A6">
      <w:pPr>
        <w:ind w:firstLine="900"/>
        <w:contextualSpacing/>
        <w:jc w:val="right"/>
        <w:rPr>
          <w:sz w:val="24"/>
          <w:szCs w:val="24"/>
        </w:rPr>
      </w:pPr>
      <w:r>
        <w:rPr>
          <w:sz w:val="24"/>
          <w:szCs w:val="24"/>
        </w:rPr>
        <w:t xml:space="preserve">             </w:t>
      </w:r>
      <w:r w:rsidR="007C50D0" w:rsidRPr="007C50D0">
        <w:rPr>
          <w:sz w:val="24"/>
          <w:szCs w:val="24"/>
        </w:rPr>
        <w:t xml:space="preserve">Таблица </w:t>
      </w:r>
      <w:r>
        <w:rPr>
          <w:sz w:val="24"/>
          <w:szCs w:val="24"/>
        </w:rPr>
        <w:t>1</w:t>
      </w:r>
      <w:r w:rsidR="007C50D0" w:rsidRPr="007C50D0">
        <w:rPr>
          <w:sz w:val="24"/>
          <w:szCs w:val="24"/>
        </w:rPr>
        <w:t>3</w:t>
      </w:r>
    </w:p>
    <w:tbl>
      <w:tblPr>
        <w:tblW w:w="9016" w:type="dxa"/>
        <w:tblInd w:w="392"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3260"/>
        <w:gridCol w:w="1220"/>
        <w:gridCol w:w="1134"/>
        <w:gridCol w:w="1134"/>
        <w:gridCol w:w="1134"/>
        <w:gridCol w:w="1134"/>
      </w:tblGrid>
      <w:tr w:rsidR="007C50D0" w:rsidRPr="007C50D0" w:rsidTr="00F46C7B">
        <w:trPr>
          <w:trHeight w:val="46"/>
        </w:trPr>
        <w:tc>
          <w:tcPr>
            <w:tcW w:w="9016" w:type="dxa"/>
            <w:gridSpan w:val="6"/>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Уровни нарушения процессуальных сроков (</w:t>
            </w:r>
            <w:proofErr w:type="gramStart"/>
            <w:r w:rsidRPr="007C50D0">
              <w:rPr>
                <w:b/>
                <w:sz w:val="24"/>
                <w:szCs w:val="24"/>
              </w:rPr>
              <w:t>в</w:t>
            </w:r>
            <w:proofErr w:type="gramEnd"/>
            <w:r w:rsidRPr="007C50D0">
              <w:rPr>
                <w:b/>
                <w:sz w:val="24"/>
                <w:szCs w:val="24"/>
              </w:rPr>
              <w:t xml:space="preserve"> %) за 12 месяцев</w:t>
            </w:r>
          </w:p>
        </w:tc>
      </w:tr>
      <w:tr w:rsidR="007C50D0" w:rsidRPr="007C50D0" w:rsidTr="00F46C7B">
        <w:trPr>
          <w:trHeight w:val="106"/>
        </w:trPr>
        <w:tc>
          <w:tcPr>
            <w:tcW w:w="3260"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Судопроизводство</w:t>
            </w:r>
          </w:p>
        </w:tc>
        <w:tc>
          <w:tcPr>
            <w:tcW w:w="1220"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1134"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1134"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1134"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1134"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F46C7B">
        <w:trPr>
          <w:trHeight w:val="158"/>
        </w:trPr>
        <w:tc>
          <w:tcPr>
            <w:tcW w:w="3260" w:type="dxa"/>
            <w:tcBorders>
              <w:top w:val="thickThinLargeGap" w:sz="24" w:space="0" w:color="auto"/>
            </w:tcBorders>
            <w:vAlign w:val="center"/>
          </w:tcPr>
          <w:p w:rsidR="007C50D0" w:rsidRPr="007C50D0" w:rsidRDefault="007C50D0" w:rsidP="008619A6">
            <w:pPr>
              <w:contextualSpacing/>
              <w:jc w:val="center"/>
              <w:rPr>
                <w:b/>
                <w:sz w:val="24"/>
                <w:szCs w:val="24"/>
              </w:rPr>
            </w:pPr>
            <w:r w:rsidRPr="007C50D0">
              <w:rPr>
                <w:b/>
                <w:sz w:val="24"/>
                <w:szCs w:val="24"/>
              </w:rPr>
              <w:t>Уголовное</w:t>
            </w:r>
          </w:p>
        </w:tc>
        <w:tc>
          <w:tcPr>
            <w:tcW w:w="1220" w:type="dxa"/>
            <w:tcBorders>
              <w:top w:val="thickThinLargeGap" w:sz="24" w:space="0" w:color="auto"/>
            </w:tcBorders>
            <w:vAlign w:val="center"/>
          </w:tcPr>
          <w:p w:rsidR="007C50D0" w:rsidRPr="007C50D0" w:rsidRDefault="007C50D0" w:rsidP="008619A6">
            <w:pPr>
              <w:contextualSpacing/>
              <w:jc w:val="center"/>
              <w:rPr>
                <w:i/>
                <w:sz w:val="24"/>
                <w:szCs w:val="24"/>
              </w:rPr>
            </w:pPr>
            <w:r w:rsidRPr="007C50D0">
              <w:rPr>
                <w:i/>
                <w:sz w:val="24"/>
                <w:szCs w:val="24"/>
              </w:rPr>
              <w:t>1,3</w:t>
            </w:r>
          </w:p>
        </w:tc>
        <w:tc>
          <w:tcPr>
            <w:tcW w:w="1134" w:type="dxa"/>
            <w:tcBorders>
              <w:top w:val="thickThinLargeGap" w:sz="24" w:space="0" w:color="auto"/>
            </w:tcBorders>
            <w:vAlign w:val="center"/>
          </w:tcPr>
          <w:p w:rsidR="007C50D0" w:rsidRPr="007C50D0" w:rsidRDefault="007C50D0" w:rsidP="008619A6">
            <w:pPr>
              <w:contextualSpacing/>
              <w:jc w:val="center"/>
              <w:rPr>
                <w:i/>
                <w:sz w:val="24"/>
                <w:szCs w:val="24"/>
              </w:rPr>
            </w:pPr>
            <w:r w:rsidRPr="007C50D0">
              <w:rPr>
                <w:i/>
                <w:sz w:val="24"/>
                <w:szCs w:val="24"/>
              </w:rPr>
              <w:t>1,1</w:t>
            </w:r>
          </w:p>
        </w:tc>
        <w:tc>
          <w:tcPr>
            <w:tcW w:w="1134" w:type="dxa"/>
            <w:tcBorders>
              <w:top w:val="thickThinLargeGap" w:sz="24" w:space="0" w:color="auto"/>
            </w:tcBorders>
            <w:vAlign w:val="center"/>
          </w:tcPr>
          <w:p w:rsidR="007C50D0" w:rsidRPr="007C50D0" w:rsidRDefault="007C50D0" w:rsidP="008619A6">
            <w:pPr>
              <w:contextualSpacing/>
              <w:jc w:val="center"/>
              <w:rPr>
                <w:i/>
                <w:iCs/>
                <w:sz w:val="24"/>
                <w:szCs w:val="24"/>
              </w:rPr>
            </w:pPr>
            <w:r w:rsidRPr="007C50D0">
              <w:rPr>
                <w:i/>
                <w:iCs/>
                <w:sz w:val="24"/>
                <w:szCs w:val="24"/>
              </w:rPr>
              <w:t>0,7</w:t>
            </w:r>
          </w:p>
        </w:tc>
        <w:tc>
          <w:tcPr>
            <w:tcW w:w="1134" w:type="dxa"/>
            <w:tcBorders>
              <w:top w:val="thickThinLargeGap" w:sz="24" w:space="0" w:color="auto"/>
            </w:tcBorders>
            <w:vAlign w:val="center"/>
          </w:tcPr>
          <w:p w:rsidR="007C50D0" w:rsidRPr="007C50D0" w:rsidRDefault="007C50D0" w:rsidP="008619A6">
            <w:pPr>
              <w:contextualSpacing/>
              <w:jc w:val="center"/>
              <w:rPr>
                <w:i/>
                <w:iCs/>
                <w:sz w:val="24"/>
                <w:szCs w:val="24"/>
              </w:rPr>
            </w:pPr>
            <w:r w:rsidRPr="007C50D0">
              <w:rPr>
                <w:i/>
                <w:iCs/>
                <w:sz w:val="24"/>
                <w:szCs w:val="24"/>
              </w:rPr>
              <w:t>0,6</w:t>
            </w:r>
          </w:p>
        </w:tc>
        <w:tc>
          <w:tcPr>
            <w:tcW w:w="1134" w:type="dxa"/>
            <w:tcBorders>
              <w:top w:val="thickThinLargeGap" w:sz="24" w:space="0" w:color="auto"/>
            </w:tcBorders>
            <w:vAlign w:val="center"/>
          </w:tcPr>
          <w:p w:rsidR="007C50D0" w:rsidRPr="007C50D0" w:rsidRDefault="007C50D0" w:rsidP="008619A6">
            <w:pPr>
              <w:contextualSpacing/>
              <w:jc w:val="center"/>
              <w:rPr>
                <w:i/>
                <w:sz w:val="24"/>
                <w:szCs w:val="24"/>
              </w:rPr>
            </w:pPr>
            <w:r w:rsidRPr="007C50D0">
              <w:rPr>
                <w:i/>
                <w:sz w:val="24"/>
                <w:szCs w:val="24"/>
              </w:rPr>
              <w:t>0,7</w:t>
            </w:r>
          </w:p>
        </w:tc>
      </w:tr>
      <w:tr w:rsidR="007C50D0" w:rsidRPr="007C50D0" w:rsidTr="00F46C7B">
        <w:trPr>
          <w:trHeight w:val="66"/>
        </w:trPr>
        <w:tc>
          <w:tcPr>
            <w:tcW w:w="3260" w:type="dxa"/>
            <w:vAlign w:val="center"/>
          </w:tcPr>
          <w:p w:rsidR="007C50D0" w:rsidRPr="007C50D0" w:rsidRDefault="007C50D0" w:rsidP="008619A6">
            <w:pPr>
              <w:contextualSpacing/>
              <w:jc w:val="center"/>
              <w:rPr>
                <w:b/>
                <w:sz w:val="24"/>
                <w:szCs w:val="24"/>
              </w:rPr>
            </w:pPr>
            <w:r w:rsidRPr="007C50D0">
              <w:rPr>
                <w:b/>
                <w:sz w:val="24"/>
                <w:szCs w:val="24"/>
              </w:rPr>
              <w:t>Гражданское</w:t>
            </w:r>
          </w:p>
        </w:tc>
        <w:tc>
          <w:tcPr>
            <w:tcW w:w="1220" w:type="dxa"/>
            <w:vAlign w:val="center"/>
          </w:tcPr>
          <w:p w:rsidR="007C50D0" w:rsidRPr="007C50D0" w:rsidRDefault="007C50D0" w:rsidP="008619A6">
            <w:pPr>
              <w:contextualSpacing/>
              <w:jc w:val="center"/>
              <w:rPr>
                <w:i/>
                <w:sz w:val="24"/>
                <w:szCs w:val="24"/>
              </w:rPr>
            </w:pPr>
            <w:r w:rsidRPr="007C50D0">
              <w:rPr>
                <w:i/>
                <w:sz w:val="24"/>
                <w:szCs w:val="24"/>
              </w:rPr>
              <w:t>1,8</w:t>
            </w:r>
          </w:p>
        </w:tc>
        <w:tc>
          <w:tcPr>
            <w:tcW w:w="1134" w:type="dxa"/>
            <w:vAlign w:val="center"/>
          </w:tcPr>
          <w:p w:rsidR="007C50D0" w:rsidRPr="007C50D0" w:rsidRDefault="007C50D0" w:rsidP="008619A6">
            <w:pPr>
              <w:contextualSpacing/>
              <w:jc w:val="center"/>
              <w:rPr>
                <w:i/>
                <w:sz w:val="24"/>
                <w:szCs w:val="24"/>
              </w:rPr>
            </w:pPr>
            <w:r w:rsidRPr="007C50D0">
              <w:rPr>
                <w:i/>
                <w:sz w:val="24"/>
                <w:szCs w:val="24"/>
              </w:rPr>
              <w:t>1,2</w:t>
            </w:r>
          </w:p>
        </w:tc>
        <w:tc>
          <w:tcPr>
            <w:tcW w:w="1134" w:type="dxa"/>
            <w:vAlign w:val="center"/>
          </w:tcPr>
          <w:p w:rsidR="007C50D0" w:rsidRPr="007C50D0" w:rsidRDefault="007C50D0" w:rsidP="008619A6">
            <w:pPr>
              <w:contextualSpacing/>
              <w:jc w:val="center"/>
              <w:rPr>
                <w:i/>
                <w:iCs/>
                <w:sz w:val="24"/>
                <w:szCs w:val="24"/>
              </w:rPr>
            </w:pPr>
            <w:r w:rsidRPr="007C50D0">
              <w:rPr>
                <w:i/>
                <w:iCs/>
                <w:sz w:val="24"/>
                <w:szCs w:val="24"/>
              </w:rPr>
              <w:t>1,2</w:t>
            </w:r>
          </w:p>
        </w:tc>
        <w:tc>
          <w:tcPr>
            <w:tcW w:w="1134" w:type="dxa"/>
            <w:vAlign w:val="center"/>
          </w:tcPr>
          <w:p w:rsidR="007C50D0" w:rsidRPr="007C50D0" w:rsidRDefault="007C50D0" w:rsidP="008619A6">
            <w:pPr>
              <w:contextualSpacing/>
              <w:jc w:val="center"/>
              <w:rPr>
                <w:i/>
                <w:iCs/>
                <w:sz w:val="24"/>
                <w:szCs w:val="24"/>
              </w:rPr>
            </w:pPr>
            <w:r w:rsidRPr="007C50D0">
              <w:rPr>
                <w:i/>
                <w:iCs/>
                <w:sz w:val="24"/>
                <w:szCs w:val="24"/>
              </w:rPr>
              <w:t>1,4</w:t>
            </w:r>
          </w:p>
        </w:tc>
        <w:tc>
          <w:tcPr>
            <w:tcW w:w="1134" w:type="dxa"/>
            <w:vAlign w:val="center"/>
          </w:tcPr>
          <w:p w:rsidR="007C50D0" w:rsidRPr="007C50D0" w:rsidRDefault="007C50D0" w:rsidP="008619A6">
            <w:pPr>
              <w:contextualSpacing/>
              <w:jc w:val="center"/>
              <w:rPr>
                <w:i/>
                <w:sz w:val="24"/>
                <w:szCs w:val="24"/>
              </w:rPr>
            </w:pPr>
            <w:r w:rsidRPr="007C50D0">
              <w:rPr>
                <w:i/>
                <w:sz w:val="24"/>
                <w:szCs w:val="24"/>
              </w:rPr>
              <w:t>1,3</w:t>
            </w:r>
          </w:p>
        </w:tc>
      </w:tr>
      <w:tr w:rsidR="007C50D0" w:rsidRPr="007C50D0" w:rsidTr="00F46C7B">
        <w:trPr>
          <w:trHeight w:val="66"/>
        </w:trPr>
        <w:tc>
          <w:tcPr>
            <w:tcW w:w="3260" w:type="dxa"/>
            <w:vAlign w:val="center"/>
          </w:tcPr>
          <w:p w:rsidR="007C50D0" w:rsidRPr="007C50D0" w:rsidRDefault="007C50D0" w:rsidP="008619A6">
            <w:pPr>
              <w:contextualSpacing/>
              <w:jc w:val="center"/>
              <w:rPr>
                <w:b/>
                <w:sz w:val="24"/>
                <w:szCs w:val="24"/>
              </w:rPr>
            </w:pPr>
            <w:r w:rsidRPr="007C50D0">
              <w:rPr>
                <w:b/>
                <w:sz w:val="24"/>
                <w:szCs w:val="24"/>
              </w:rPr>
              <w:t>Административное</w:t>
            </w:r>
          </w:p>
        </w:tc>
        <w:tc>
          <w:tcPr>
            <w:tcW w:w="1220" w:type="dxa"/>
            <w:vAlign w:val="center"/>
          </w:tcPr>
          <w:p w:rsidR="007C50D0" w:rsidRPr="007C50D0" w:rsidRDefault="007C50D0" w:rsidP="008619A6">
            <w:pPr>
              <w:contextualSpacing/>
              <w:jc w:val="center"/>
              <w:rPr>
                <w:i/>
                <w:sz w:val="24"/>
                <w:szCs w:val="24"/>
              </w:rPr>
            </w:pPr>
          </w:p>
        </w:tc>
        <w:tc>
          <w:tcPr>
            <w:tcW w:w="1134" w:type="dxa"/>
            <w:vAlign w:val="center"/>
          </w:tcPr>
          <w:p w:rsidR="007C50D0" w:rsidRPr="007C50D0" w:rsidRDefault="007C50D0" w:rsidP="008619A6">
            <w:pPr>
              <w:contextualSpacing/>
              <w:jc w:val="center"/>
              <w:rPr>
                <w:i/>
                <w:sz w:val="24"/>
                <w:szCs w:val="24"/>
              </w:rPr>
            </w:pPr>
          </w:p>
        </w:tc>
        <w:tc>
          <w:tcPr>
            <w:tcW w:w="1134" w:type="dxa"/>
            <w:vAlign w:val="center"/>
          </w:tcPr>
          <w:p w:rsidR="007C50D0" w:rsidRPr="007C50D0" w:rsidRDefault="007C50D0" w:rsidP="008619A6">
            <w:pPr>
              <w:contextualSpacing/>
              <w:jc w:val="center"/>
              <w:rPr>
                <w:i/>
                <w:iCs/>
                <w:sz w:val="24"/>
                <w:szCs w:val="24"/>
              </w:rPr>
            </w:pPr>
          </w:p>
        </w:tc>
        <w:tc>
          <w:tcPr>
            <w:tcW w:w="1134" w:type="dxa"/>
            <w:vAlign w:val="center"/>
          </w:tcPr>
          <w:p w:rsidR="007C50D0" w:rsidRPr="007C50D0" w:rsidRDefault="007C50D0" w:rsidP="008619A6">
            <w:pPr>
              <w:contextualSpacing/>
              <w:jc w:val="center"/>
              <w:rPr>
                <w:i/>
                <w:iCs/>
                <w:sz w:val="24"/>
                <w:szCs w:val="24"/>
              </w:rPr>
            </w:pPr>
            <w:r w:rsidRPr="007C50D0">
              <w:rPr>
                <w:i/>
                <w:iCs/>
                <w:sz w:val="24"/>
                <w:szCs w:val="24"/>
              </w:rPr>
              <w:t>1,3</w:t>
            </w:r>
          </w:p>
        </w:tc>
        <w:tc>
          <w:tcPr>
            <w:tcW w:w="1134" w:type="dxa"/>
            <w:vAlign w:val="center"/>
          </w:tcPr>
          <w:p w:rsidR="007C50D0" w:rsidRPr="007C50D0" w:rsidRDefault="007C50D0" w:rsidP="008619A6">
            <w:pPr>
              <w:contextualSpacing/>
              <w:jc w:val="center"/>
              <w:rPr>
                <w:i/>
                <w:sz w:val="24"/>
                <w:szCs w:val="24"/>
              </w:rPr>
            </w:pPr>
            <w:r w:rsidRPr="007C50D0">
              <w:rPr>
                <w:i/>
                <w:sz w:val="24"/>
                <w:szCs w:val="24"/>
              </w:rPr>
              <w:t>2,1</w:t>
            </w:r>
          </w:p>
        </w:tc>
      </w:tr>
    </w:tbl>
    <w:p w:rsidR="00663C3C" w:rsidRDefault="00663C3C" w:rsidP="008619A6">
      <w:pPr>
        <w:contextualSpacing/>
        <w:jc w:val="right"/>
        <w:rPr>
          <w:sz w:val="24"/>
          <w:szCs w:val="24"/>
        </w:rPr>
      </w:pPr>
    </w:p>
    <w:p w:rsidR="00663C3C" w:rsidRDefault="00663C3C" w:rsidP="008619A6">
      <w:pPr>
        <w:contextualSpacing/>
        <w:jc w:val="right"/>
        <w:rPr>
          <w:sz w:val="24"/>
          <w:szCs w:val="24"/>
        </w:rPr>
      </w:pPr>
    </w:p>
    <w:p w:rsidR="00663C3C" w:rsidRDefault="00663C3C" w:rsidP="008619A6">
      <w:pPr>
        <w:contextualSpacing/>
        <w:jc w:val="right"/>
        <w:rPr>
          <w:sz w:val="24"/>
          <w:szCs w:val="24"/>
        </w:rPr>
      </w:pPr>
    </w:p>
    <w:p w:rsidR="007C50D0" w:rsidRPr="007C50D0" w:rsidRDefault="007C50D0" w:rsidP="008619A6">
      <w:pPr>
        <w:contextualSpacing/>
        <w:jc w:val="right"/>
        <w:rPr>
          <w:sz w:val="24"/>
          <w:szCs w:val="24"/>
        </w:rPr>
      </w:pPr>
      <w:r w:rsidRPr="007C50D0">
        <w:rPr>
          <w:sz w:val="24"/>
          <w:szCs w:val="24"/>
        </w:rPr>
        <w:lastRenderedPageBreak/>
        <w:t>График 1</w:t>
      </w:r>
    </w:p>
    <w:p w:rsidR="007C50D0" w:rsidRPr="007C50D0" w:rsidRDefault="007C50D0" w:rsidP="008619A6">
      <w:pPr>
        <w:ind w:firstLine="851"/>
        <w:contextualSpacing/>
        <w:jc w:val="both"/>
        <w:rPr>
          <w:color w:val="0000FF"/>
          <w:sz w:val="24"/>
          <w:szCs w:val="24"/>
        </w:rPr>
      </w:pPr>
      <w:r>
        <w:rPr>
          <w:noProof/>
          <w:color w:val="0000FF"/>
          <w:sz w:val="24"/>
          <w:szCs w:val="24"/>
        </w:rPr>
        <w:drawing>
          <wp:inline distT="0" distB="0" distL="0" distR="0" wp14:anchorId="0D879151" wp14:editId="24DE9164">
            <wp:extent cx="4877435" cy="202057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7435" cy="2020570"/>
                    </a:xfrm>
                    <a:prstGeom prst="rect">
                      <a:avLst/>
                    </a:prstGeom>
                    <a:noFill/>
                  </pic:spPr>
                </pic:pic>
              </a:graphicData>
            </a:graphic>
          </wp:inline>
        </w:drawing>
      </w:r>
    </w:p>
    <w:p w:rsidR="00126E2E" w:rsidRDefault="00126E2E" w:rsidP="008619A6">
      <w:pPr>
        <w:ind w:firstLine="851"/>
        <w:contextualSpacing/>
        <w:jc w:val="both"/>
        <w:rPr>
          <w:sz w:val="28"/>
          <w:szCs w:val="28"/>
          <w:u w:val="single"/>
        </w:rPr>
      </w:pPr>
    </w:p>
    <w:p w:rsidR="007C50D0" w:rsidRPr="007C50D0" w:rsidRDefault="007C50D0" w:rsidP="008619A6">
      <w:pPr>
        <w:ind w:firstLine="851"/>
        <w:contextualSpacing/>
        <w:jc w:val="both"/>
        <w:rPr>
          <w:sz w:val="28"/>
          <w:szCs w:val="28"/>
          <w:u w:val="single"/>
        </w:rPr>
      </w:pPr>
      <w:r w:rsidRPr="007C50D0">
        <w:rPr>
          <w:sz w:val="28"/>
          <w:szCs w:val="28"/>
          <w:u w:val="single"/>
        </w:rPr>
        <w:t>Общие сроки рассмотрения дел</w:t>
      </w:r>
    </w:p>
    <w:p w:rsidR="007C50D0" w:rsidRDefault="007C50D0" w:rsidP="008619A6">
      <w:pPr>
        <w:ind w:firstLine="851"/>
        <w:contextualSpacing/>
        <w:jc w:val="both"/>
        <w:rPr>
          <w:sz w:val="28"/>
          <w:szCs w:val="28"/>
        </w:rPr>
      </w:pPr>
      <w:r w:rsidRPr="007C50D0">
        <w:rPr>
          <w:sz w:val="28"/>
          <w:szCs w:val="28"/>
        </w:rPr>
        <w:t>По сравнению с 2016 годом наблюдается увеличение как абсолютного, так и относительного показателя, связанного с общими сроками рассмотрения уголовных дел. На 0,9% увеличилась доля уголовных дел, рассмотрение которых продолжалось более полутора месяцев, исключая период приостановления дела, сохраняя тем самым сложившуюся тенденцию роста. Доля дел, которые рассматривались в 2017 году районными (городскими) судами в сроки свыше трех месяцев, увеличилась по сравнению с 2016 годом на 0,6%.</w:t>
      </w:r>
    </w:p>
    <w:p w:rsidR="00126E2E" w:rsidRPr="007C50D0" w:rsidRDefault="00126E2E" w:rsidP="008619A6">
      <w:pPr>
        <w:ind w:firstLine="851"/>
        <w:contextualSpacing/>
        <w:jc w:val="both"/>
        <w:rPr>
          <w:sz w:val="24"/>
          <w:szCs w:val="24"/>
        </w:rPr>
      </w:pPr>
    </w:p>
    <w:p w:rsidR="007C50D0" w:rsidRPr="007C50D0" w:rsidRDefault="007C50D0" w:rsidP="008619A6">
      <w:pPr>
        <w:ind w:firstLine="900"/>
        <w:contextualSpacing/>
        <w:jc w:val="both"/>
        <w:rPr>
          <w:sz w:val="28"/>
          <w:szCs w:val="28"/>
        </w:rPr>
      </w:pPr>
      <w:r w:rsidRPr="007C50D0">
        <w:rPr>
          <w:sz w:val="24"/>
          <w:szCs w:val="24"/>
        </w:rPr>
        <w:t xml:space="preserve">                                                                                                                         Таблица </w:t>
      </w:r>
      <w:r w:rsidR="00C02904">
        <w:rPr>
          <w:sz w:val="24"/>
          <w:szCs w:val="24"/>
        </w:rPr>
        <w:t>1</w:t>
      </w:r>
      <w:r w:rsidRPr="007C50D0">
        <w:rPr>
          <w:sz w:val="24"/>
          <w:szCs w:val="24"/>
        </w:rPr>
        <w:t>4</w:t>
      </w:r>
    </w:p>
    <w:tbl>
      <w:tblPr>
        <w:tblW w:w="93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1200"/>
        <w:gridCol w:w="1200"/>
        <w:gridCol w:w="1320"/>
        <w:gridCol w:w="1320"/>
        <w:gridCol w:w="1560"/>
      </w:tblGrid>
      <w:tr w:rsidR="007C50D0" w:rsidRPr="007C50D0" w:rsidTr="007C50D0">
        <w:trPr>
          <w:trHeight w:val="221"/>
        </w:trPr>
        <w:tc>
          <w:tcPr>
            <w:tcW w:w="9316" w:type="dxa"/>
            <w:gridSpan w:val="6"/>
            <w:tcBorders>
              <w:top w:val="double" w:sz="4" w:space="0" w:color="auto"/>
              <w:left w:val="double" w:sz="4" w:space="0" w:color="auto"/>
              <w:bottom w:val="single" w:sz="4" w:space="0" w:color="auto"/>
              <w:right w:val="doub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Сроки рассмотрения уголовных дел, исключая срок приостановления, и их доля в количестве оконченных за 12 месяцев</w:t>
            </w:r>
          </w:p>
        </w:tc>
      </w:tr>
      <w:tr w:rsidR="007C50D0" w:rsidRPr="007C50D0" w:rsidTr="007C50D0">
        <w:trPr>
          <w:trHeight w:val="235"/>
        </w:trPr>
        <w:tc>
          <w:tcPr>
            <w:tcW w:w="2716" w:type="dxa"/>
            <w:tcBorders>
              <w:top w:val="single" w:sz="4" w:space="0" w:color="auto"/>
              <w:left w:val="double" w:sz="4" w:space="0" w:color="auto"/>
              <w:bottom w:val="thickThinLargeGap" w:sz="24" w:space="0" w:color="auto"/>
              <w:right w:val="doub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Сроки</w:t>
            </w:r>
          </w:p>
        </w:tc>
        <w:tc>
          <w:tcPr>
            <w:tcW w:w="1200" w:type="dxa"/>
            <w:tcBorders>
              <w:top w:val="single" w:sz="4" w:space="0" w:color="auto"/>
              <w:left w:val="double" w:sz="4" w:space="0" w:color="auto"/>
              <w:bottom w:val="thickThinLargeGap" w:sz="24" w:space="0" w:color="auto"/>
              <w:right w:val="sing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2013</w:t>
            </w:r>
          </w:p>
        </w:tc>
        <w:tc>
          <w:tcPr>
            <w:tcW w:w="1200" w:type="dxa"/>
            <w:tcBorders>
              <w:top w:val="single" w:sz="4" w:space="0" w:color="auto"/>
              <w:left w:val="single" w:sz="4" w:space="0" w:color="auto"/>
              <w:bottom w:val="thickThinLargeGap" w:sz="24" w:space="0" w:color="auto"/>
              <w:right w:val="sing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2014</w:t>
            </w:r>
          </w:p>
        </w:tc>
        <w:tc>
          <w:tcPr>
            <w:tcW w:w="1320" w:type="dxa"/>
            <w:tcBorders>
              <w:top w:val="single" w:sz="4" w:space="0" w:color="auto"/>
              <w:left w:val="single" w:sz="4" w:space="0" w:color="auto"/>
              <w:bottom w:val="thickThinLargeGap" w:sz="24" w:space="0" w:color="auto"/>
              <w:right w:val="sing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2015</w:t>
            </w:r>
          </w:p>
        </w:tc>
        <w:tc>
          <w:tcPr>
            <w:tcW w:w="1320" w:type="dxa"/>
            <w:tcBorders>
              <w:top w:val="single" w:sz="4" w:space="0" w:color="auto"/>
              <w:left w:val="single" w:sz="4" w:space="0" w:color="auto"/>
              <w:bottom w:val="thickThinLargeGap" w:sz="24" w:space="0" w:color="auto"/>
              <w:right w:val="sing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2016</w:t>
            </w:r>
          </w:p>
        </w:tc>
        <w:tc>
          <w:tcPr>
            <w:tcW w:w="1560" w:type="dxa"/>
            <w:tcBorders>
              <w:top w:val="single" w:sz="4" w:space="0" w:color="auto"/>
              <w:left w:val="single" w:sz="4" w:space="0" w:color="auto"/>
              <w:bottom w:val="thickThinLargeGap" w:sz="24" w:space="0" w:color="auto"/>
              <w:right w:val="doub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7C50D0">
        <w:trPr>
          <w:trHeight w:val="131"/>
        </w:trPr>
        <w:tc>
          <w:tcPr>
            <w:tcW w:w="2716" w:type="dxa"/>
            <w:tcBorders>
              <w:top w:val="thickThinLargeGap" w:sz="24" w:space="0" w:color="auto"/>
              <w:left w:val="double" w:sz="4" w:space="0" w:color="auto"/>
              <w:bottom w:val="single" w:sz="4" w:space="0" w:color="auto"/>
              <w:right w:val="double" w:sz="4" w:space="0" w:color="auto"/>
            </w:tcBorders>
            <w:vAlign w:val="bottom"/>
          </w:tcPr>
          <w:p w:rsidR="007C50D0" w:rsidRPr="007C50D0" w:rsidRDefault="007C50D0" w:rsidP="008619A6">
            <w:pPr>
              <w:contextualSpacing/>
              <w:jc w:val="center"/>
              <w:rPr>
                <w:b/>
                <w:sz w:val="24"/>
                <w:szCs w:val="24"/>
                <w:lang w:val="en-US"/>
              </w:rPr>
            </w:pPr>
            <w:r w:rsidRPr="007C50D0">
              <w:rPr>
                <w:b/>
                <w:sz w:val="24"/>
                <w:szCs w:val="24"/>
              </w:rPr>
              <w:t>От 1,5 до 3 мес.</w:t>
            </w:r>
          </w:p>
        </w:tc>
        <w:tc>
          <w:tcPr>
            <w:tcW w:w="1200" w:type="dxa"/>
            <w:tcBorders>
              <w:top w:val="thickThinLargeGap" w:sz="24" w:space="0" w:color="auto"/>
              <w:left w:val="double" w:sz="4" w:space="0" w:color="auto"/>
              <w:bottom w:val="single" w:sz="4" w:space="0" w:color="auto"/>
              <w:right w:val="single" w:sz="4" w:space="0" w:color="auto"/>
            </w:tcBorders>
            <w:shd w:val="clear" w:color="auto" w:fill="auto"/>
            <w:vAlign w:val="bottom"/>
          </w:tcPr>
          <w:p w:rsidR="007C50D0" w:rsidRPr="007C50D0" w:rsidRDefault="007C50D0" w:rsidP="008619A6">
            <w:pPr>
              <w:contextualSpacing/>
              <w:jc w:val="center"/>
              <w:rPr>
                <w:i/>
                <w:sz w:val="24"/>
                <w:szCs w:val="24"/>
              </w:rPr>
            </w:pPr>
            <w:r w:rsidRPr="007C50D0">
              <w:rPr>
                <w:i/>
                <w:sz w:val="24"/>
                <w:szCs w:val="24"/>
              </w:rPr>
              <w:t>1262</w:t>
            </w:r>
          </w:p>
        </w:tc>
        <w:tc>
          <w:tcPr>
            <w:tcW w:w="1200" w:type="dxa"/>
            <w:tcBorders>
              <w:top w:val="thickThinLargeGap" w:sz="24" w:space="0" w:color="auto"/>
              <w:left w:val="single" w:sz="4" w:space="0" w:color="auto"/>
              <w:bottom w:val="single" w:sz="4" w:space="0" w:color="auto"/>
              <w:right w:val="single" w:sz="4" w:space="0" w:color="auto"/>
            </w:tcBorders>
            <w:vAlign w:val="bottom"/>
          </w:tcPr>
          <w:p w:rsidR="007C50D0" w:rsidRPr="007C50D0" w:rsidRDefault="007C50D0" w:rsidP="008619A6">
            <w:pPr>
              <w:contextualSpacing/>
              <w:jc w:val="center"/>
              <w:rPr>
                <w:i/>
                <w:sz w:val="24"/>
                <w:szCs w:val="24"/>
              </w:rPr>
            </w:pPr>
            <w:r w:rsidRPr="007C50D0">
              <w:rPr>
                <w:i/>
                <w:sz w:val="24"/>
                <w:szCs w:val="24"/>
              </w:rPr>
              <w:t>1337</w:t>
            </w:r>
          </w:p>
        </w:tc>
        <w:tc>
          <w:tcPr>
            <w:tcW w:w="1320" w:type="dxa"/>
            <w:tcBorders>
              <w:top w:val="thickThinLargeGap" w:sz="24" w:space="0" w:color="auto"/>
              <w:left w:val="single" w:sz="4" w:space="0" w:color="auto"/>
              <w:bottom w:val="single" w:sz="4" w:space="0" w:color="auto"/>
              <w:right w:val="single" w:sz="4" w:space="0" w:color="auto"/>
            </w:tcBorders>
            <w:shd w:val="clear" w:color="auto" w:fill="auto"/>
            <w:vAlign w:val="bottom"/>
          </w:tcPr>
          <w:p w:rsidR="007C50D0" w:rsidRPr="007C50D0" w:rsidRDefault="007C50D0" w:rsidP="008619A6">
            <w:pPr>
              <w:contextualSpacing/>
              <w:jc w:val="center"/>
              <w:rPr>
                <w:i/>
                <w:sz w:val="24"/>
                <w:szCs w:val="24"/>
              </w:rPr>
            </w:pPr>
            <w:r w:rsidRPr="007C50D0">
              <w:rPr>
                <w:i/>
                <w:sz w:val="24"/>
                <w:szCs w:val="24"/>
              </w:rPr>
              <w:t>1502,0</w:t>
            </w:r>
          </w:p>
        </w:tc>
        <w:tc>
          <w:tcPr>
            <w:tcW w:w="1320" w:type="dxa"/>
            <w:tcBorders>
              <w:top w:val="thickThinLargeGap" w:sz="24" w:space="0" w:color="auto"/>
              <w:left w:val="single" w:sz="4" w:space="0" w:color="auto"/>
              <w:bottom w:val="single" w:sz="4" w:space="0" w:color="auto"/>
              <w:right w:val="single" w:sz="4" w:space="0" w:color="auto"/>
            </w:tcBorders>
            <w:vAlign w:val="bottom"/>
          </w:tcPr>
          <w:p w:rsidR="007C50D0" w:rsidRPr="007C50D0" w:rsidRDefault="007C50D0" w:rsidP="008619A6">
            <w:pPr>
              <w:contextualSpacing/>
              <w:jc w:val="center"/>
              <w:rPr>
                <w:i/>
                <w:sz w:val="24"/>
                <w:szCs w:val="24"/>
              </w:rPr>
            </w:pPr>
            <w:r w:rsidRPr="007C50D0">
              <w:rPr>
                <w:i/>
                <w:sz w:val="24"/>
                <w:szCs w:val="24"/>
              </w:rPr>
              <w:t>1786</w:t>
            </w:r>
          </w:p>
        </w:tc>
        <w:tc>
          <w:tcPr>
            <w:tcW w:w="1560" w:type="dxa"/>
            <w:tcBorders>
              <w:top w:val="thickThinLargeGap" w:sz="24" w:space="0" w:color="auto"/>
              <w:left w:val="single" w:sz="4" w:space="0" w:color="auto"/>
              <w:bottom w:val="single" w:sz="4" w:space="0" w:color="auto"/>
              <w:right w:val="double" w:sz="4" w:space="0" w:color="auto"/>
            </w:tcBorders>
            <w:shd w:val="clear" w:color="auto" w:fill="auto"/>
            <w:vAlign w:val="bottom"/>
          </w:tcPr>
          <w:p w:rsidR="007C50D0" w:rsidRPr="007C50D0" w:rsidRDefault="007C50D0" w:rsidP="008619A6">
            <w:pPr>
              <w:contextualSpacing/>
              <w:jc w:val="right"/>
              <w:rPr>
                <w:i/>
                <w:sz w:val="24"/>
                <w:szCs w:val="24"/>
              </w:rPr>
            </w:pPr>
            <w:r w:rsidRPr="007C50D0">
              <w:rPr>
                <w:i/>
                <w:sz w:val="24"/>
                <w:szCs w:val="24"/>
              </w:rPr>
              <w:t>1972,0</w:t>
            </w:r>
          </w:p>
        </w:tc>
      </w:tr>
      <w:tr w:rsidR="007C50D0" w:rsidRPr="007C50D0" w:rsidTr="007C50D0">
        <w:trPr>
          <w:trHeight w:val="140"/>
        </w:trPr>
        <w:tc>
          <w:tcPr>
            <w:tcW w:w="2716" w:type="dxa"/>
            <w:tcBorders>
              <w:left w:val="double" w:sz="4" w:space="0" w:color="auto"/>
              <w:bottom w:val="single" w:sz="4" w:space="0" w:color="auto"/>
              <w:right w:val="double" w:sz="4" w:space="0" w:color="auto"/>
            </w:tcBorders>
            <w:shd w:val="clear" w:color="auto" w:fill="auto"/>
            <w:vAlign w:val="bottom"/>
          </w:tcPr>
          <w:p w:rsidR="007C50D0" w:rsidRPr="007C50D0" w:rsidRDefault="007C50D0" w:rsidP="008619A6">
            <w:pPr>
              <w:contextualSpacing/>
              <w:jc w:val="center"/>
              <w:rPr>
                <w:b/>
                <w:sz w:val="22"/>
                <w:szCs w:val="22"/>
              </w:rPr>
            </w:pPr>
            <w:r w:rsidRPr="007C50D0">
              <w:rPr>
                <w:b/>
                <w:sz w:val="22"/>
                <w:szCs w:val="22"/>
              </w:rPr>
              <w:t>%</w:t>
            </w:r>
          </w:p>
        </w:tc>
        <w:tc>
          <w:tcPr>
            <w:tcW w:w="1200" w:type="dxa"/>
            <w:tcBorders>
              <w:left w:val="double" w:sz="4" w:space="0" w:color="auto"/>
              <w:bottom w:val="single" w:sz="4" w:space="0" w:color="auto"/>
              <w:right w:val="single" w:sz="4" w:space="0" w:color="auto"/>
            </w:tcBorders>
            <w:shd w:val="clear" w:color="auto" w:fill="auto"/>
            <w:vAlign w:val="bottom"/>
          </w:tcPr>
          <w:p w:rsidR="007C50D0" w:rsidRPr="007C50D0" w:rsidRDefault="007C50D0" w:rsidP="008619A6">
            <w:pPr>
              <w:contextualSpacing/>
              <w:jc w:val="center"/>
              <w:rPr>
                <w:b/>
                <w:bCs/>
                <w:i/>
                <w:sz w:val="22"/>
                <w:szCs w:val="22"/>
              </w:rPr>
            </w:pPr>
            <w:r w:rsidRPr="007C50D0">
              <w:rPr>
                <w:b/>
                <w:bCs/>
                <w:i/>
                <w:sz w:val="22"/>
                <w:szCs w:val="22"/>
              </w:rPr>
              <w:t>11,6</w:t>
            </w:r>
          </w:p>
        </w:tc>
        <w:tc>
          <w:tcPr>
            <w:tcW w:w="1200" w:type="dxa"/>
            <w:tcBorders>
              <w:left w:val="single" w:sz="4" w:space="0" w:color="auto"/>
              <w:bottom w:val="single" w:sz="4" w:space="0" w:color="auto"/>
              <w:right w:val="single" w:sz="4" w:space="0" w:color="auto"/>
            </w:tcBorders>
            <w:shd w:val="clear" w:color="auto" w:fill="auto"/>
            <w:vAlign w:val="bottom"/>
          </w:tcPr>
          <w:p w:rsidR="007C50D0" w:rsidRPr="007C50D0" w:rsidRDefault="007C50D0" w:rsidP="008619A6">
            <w:pPr>
              <w:contextualSpacing/>
              <w:jc w:val="center"/>
              <w:rPr>
                <w:b/>
                <w:bCs/>
                <w:i/>
                <w:sz w:val="22"/>
                <w:szCs w:val="22"/>
              </w:rPr>
            </w:pPr>
            <w:r w:rsidRPr="007C50D0">
              <w:rPr>
                <w:b/>
                <w:bCs/>
                <w:i/>
                <w:sz w:val="22"/>
                <w:szCs w:val="22"/>
              </w:rPr>
              <w:t>13,3</w:t>
            </w:r>
          </w:p>
        </w:tc>
        <w:tc>
          <w:tcPr>
            <w:tcW w:w="1320" w:type="dxa"/>
            <w:tcBorders>
              <w:left w:val="single" w:sz="4" w:space="0" w:color="auto"/>
              <w:bottom w:val="single" w:sz="4" w:space="0" w:color="auto"/>
              <w:right w:val="single" w:sz="4" w:space="0" w:color="auto"/>
            </w:tcBorders>
            <w:shd w:val="clear" w:color="auto" w:fill="auto"/>
            <w:vAlign w:val="bottom"/>
          </w:tcPr>
          <w:p w:rsidR="007C50D0" w:rsidRPr="007C50D0" w:rsidRDefault="007C50D0" w:rsidP="008619A6">
            <w:pPr>
              <w:contextualSpacing/>
              <w:jc w:val="center"/>
              <w:rPr>
                <w:b/>
                <w:bCs/>
                <w:i/>
                <w:sz w:val="24"/>
                <w:szCs w:val="24"/>
              </w:rPr>
            </w:pPr>
            <w:r w:rsidRPr="007C50D0">
              <w:rPr>
                <w:b/>
                <w:bCs/>
                <w:i/>
                <w:sz w:val="24"/>
                <w:szCs w:val="24"/>
              </w:rPr>
              <w:t>14,3</w:t>
            </w:r>
          </w:p>
        </w:tc>
        <w:tc>
          <w:tcPr>
            <w:tcW w:w="1320" w:type="dxa"/>
            <w:tcBorders>
              <w:left w:val="single" w:sz="4" w:space="0" w:color="auto"/>
              <w:bottom w:val="single" w:sz="4" w:space="0" w:color="auto"/>
              <w:right w:val="single" w:sz="4" w:space="0" w:color="auto"/>
            </w:tcBorders>
            <w:shd w:val="clear" w:color="auto" w:fill="auto"/>
            <w:vAlign w:val="bottom"/>
          </w:tcPr>
          <w:p w:rsidR="007C50D0" w:rsidRPr="007C50D0" w:rsidRDefault="007C50D0" w:rsidP="008619A6">
            <w:pPr>
              <w:contextualSpacing/>
              <w:jc w:val="center"/>
              <w:rPr>
                <w:b/>
                <w:bCs/>
                <w:i/>
                <w:sz w:val="24"/>
                <w:szCs w:val="24"/>
              </w:rPr>
            </w:pPr>
            <w:r w:rsidRPr="007C50D0">
              <w:rPr>
                <w:b/>
                <w:bCs/>
                <w:i/>
                <w:sz w:val="24"/>
                <w:szCs w:val="24"/>
              </w:rPr>
              <w:t>16,8</w:t>
            </w:r>
          </w:p>
        </w:tc>
        <w:tc>
          <w:tcPr>
            <w:tcW w:w="1560" w:type="dxa"/>
            <w:tcBorders>
              <w:top w:val="single" w:sz="4" w:space="0" w:color="auto"/>
              <w:left w:val="single" w:sz="4" w:space="0" w:color="auto"/>
              <w:bottom w:val="single" w:sz="4" w:space="0" w:color="auto"/>
              <w:right w:val="double" w:sz="4" w:space="0" w:color="auto"/>
            </w:tcBorders>
            <w:shd w:val="clear" w:color="auto" w:fill="auto"/>
            <w:vAlign w:val="bottom"/>
          </w:tcPr>
          <w:p w:rsidR="007C50D0" w:rsidRPr="007C50D0" w:rsidRDefault="007C50D0" w:rsidP="008619A6">
            <w:pPr>
              <w:contextualSpacing/>
              <w:jc w:val="right"/>
              <w:rPr>
                <w:b/>
                <w:bCs/>
                <w:i/>
                <w:sz w:val="24"/>
                <w:szCs w:val="24"/>
              </w:rPr>
            </w:pPr>
            <w:r w:rsidRPr="007C50D0">
              <w:rPr>
                <w:b/>
                <w:bCs/>
                <w:i/>
                <w:sz w:val="24"/>
                <w:szCs w:val="24"/>
              </w:rPr>
              <w:t>17,7</w:t>
            </w:r>
          </w:p>
        </w:tc>
      </w:tr>
      <w:tr w:rsidR="007C50D0" w:rsidRPr="007C50D0" w:rsidTr="007C50D0">
        <w:trPr>
          <w:trHeight w:val="131"/>
        </w:trPr>
        <w:tc>
          <w:tcPr>
            <w:tcW w:w="2716" w:type="dxa"/>
            <w:tcBorders>
              <w:left w:val="double" w:sz="4" w:space="0" w:color="auto"/>
              <w:bottom w:val="single" w:sz="4" w:space="0" w:color="auto"/>
              <w:right w:val="double" w:sz="4" w:space="0" w:color="auto"/>
            </w:tcBorders>
            <w:shd w:val="clear" w:color="auto" w:fill="auto"/>
            <w:vAlign w:val="bottom"/>
          </w:tcPr>
          <w:p w:rsidR="007C50D0" w:rsidRPr="007C50D0" w:rsidRDefault="007C50D0" w:rsidP="008619A6">
            <w:pPr>
              <w:contextualSpacing/>
              <w:jc w:val="center"/>
              <w:rPr>
                <w:b/>
                <w:sz w:val="24"/>
                <w:szCs w:val="24"/>
              </w:rPr>
            </w:pPr>
            <w:r w:rsidRPr="007C50D0">
              <w:rPr>
                <w:b/>
                <w:sz w:val="24"/>
                <w:szCs w:val="24"/>
              </w:rPr>
              <w:t>Более 3 мес.</w:t>
            </w:r>
          </w:p>
        </w:tc>
        <w:tc>
          <w:tcPr>
            <w:tcW w:w="1200" w:type="dxa"/>
            <w:tcBorders>
              <w:left w:val="double" w:sz="4" w:space="0" w:color="auto"/>
              <w:bottom w:val="single" w:sz="4" w:space="0" w:color="auto"/>
              <w:right w:val="single" w:sz="4" w:space="0" w:color="auto"/>
            </w:tcBorders>
            <w:shd w:val="clear" w:color="auto" w:fill="auto"/>
            <w:vAlign w:val="bottom"/>
          </w:tcPr>
          <w:p w:rsidR="007C50D0" w:rsidRPr="007C50D0" w:rsidRDefault="007C50D0" w:rsidP="008619A6">
            <w:pPr>
              <w:contextualSpacing/>
              <w:jc w:val="center"/>
              <w:rPr>
                <w:bCs/>
                <w:i/>
                <w:sz w:val="24"/>
                <w:szCs w:val="24"/>
              </w:rPr>
            </w:pPr>
            <w:r w:rsidRPr="007C50D0">
              <w:rPr>
                <w:bCs/>
                <w:i/>
                <w:sz w:val="24"/>
                <w:szCs w:val="24"/>
              </w:rPr>
              <w:t>474</w:t>
            </w:r>
          </w:p>
        </w:tc>
        <w:tc>
          <w:tcPr>
            <w:tcW w:w="1200" w:type="dxa"/>
            <w:tcBorders>
              <w:left w:val="single" w:sz="4" w:space="0" w:color="auto"/>
              <w:bottom w:val="single" w:sz="4" w:space="0" w:color="auto"/>
              <w:right w:val="single" w:sz="4" w:space="0" w:color="auto"/>
            </w:tcBorders>
            <w:shd w:val="clear" w:color="auto" w:fill="auto"/>
            <w:vAlign w:val="bottom"/>
          </w:tcPr>
          <w:p w:rsidR="007C50D0" w:rsidRPr="007C50D0" w:rsidRDefault="007C50D0" w:rsidP="008619A6">
            <w:pPr>
              <w:contextualSpacing/>
              <w:jc w:val="center"/>
              <w:rPr>
                <w:bCs/>
                <w:i/>
                <w:sz w:val="24"/>
                <w:szCs w:val="24"/>
              </w:rPr>
            </w:pPr>
            <w:r w:rsidRPr="007C50D0">
              <w:rPr>
                <w:bCs/>
                <w:i/>
                <w:sz w:val="24"/>
                <w:szCs w:val="24"/>
              </w:rPr>
              <w:t>570</w:t>
            </w:r>
          </w:p>
        </w:tc>
        <w:tc>
          <w:tcPr>
            <w:tcW w:w="1320" w:type="dxa"/>
            <w:tcBorders>
              <w:left w:val="single" w:sz="4" w:space="0" w:color="auto"/>
              <w:bottom w:val="single" w:sz="4" w:space="0" w:color="auto"/>
              <w:right w:val="single" w:sz="4" w:space="0" w:color="auto"/>
            </w:tcBorders>
            <w:shd w:val="clear" w:color="auto" w:fill="auto"/>
            <w:vAlign w:val="bottom"/>
          </w:tcPr>
          <w:p w:rsidR="007C50D0" w:rsidRPr="007C50D0" w:rsidRDefault="007C50D0" w:rsidP="008619A6">
            <w:pPr>
              <w:contextualSpacing/>
              <w:jc w:val="center"/>
              <w:rPr>
                <w:bCs/>
                <w:i/>
                <w:sz w:val="24"/>
                <w:szCs w:val="24"/>
              </w:rPr>
            </w:pPr>
            <w:r w:rsidRPr="007C50D0">
              <w:rPr>
                <w:bCs/>
                <w:i/>
                <w:sz w:val="24"/>
                <w:szCs w:val="24"/>
              </w:rPr>
              <w:t>621</w:t>
            </w:r>
          </w:p>
        </w:tc>
        <w:tc>
          <w:tcPr>
            <w:tcW w:w="1320" w:type="dxa"/>
            <w:tcBorders>
              <w:left w:val="single" w:sz="4" w:space="0" w:color="auto"/>
              <w:bottom w:val="single" w:sz="4" w:space="0" w:color="auto"/>
              <w:right w:val="single" w:sz="4" w:space="0" w:color="auto"/>
            </w:tcBorders>
            <w:shd w:val="clear" w:color="auto" w:fill="auto"/>
            <w:vAlign w:val="bottom"/>
          </w:tcPr>
          <w:p w:rsidR="007C50D0" w:rsidRPr="007C50D0" w:rsidRDefault="007C50D0" w:rsidP="008619A6">
            <w:pPr>
              <w:contextualSpacing/>
              <w:jc w:val="center"/>
              <w:rPr>
                <w:bCs/>
                <w:i/>
                <w:sz w:val="24"/>
                <w:szCs w:val="24"/>
              </w:rPr>
            </w:pPr>
            <w:r w:rsidRPr="007C50D0">
              <w:rPr>
                <w:bCs/>
                <w:i/>
                <w:sz w:val="24"/>
                <w:szCs w:val="24"/>
              </w:rPr>
              <w:t>801</w:t>
            </w:r>
          </w:p>
        </w:tc>
        <w:tc>
          <w:tcPr>
            <w:tcW w:w="1560" w:type="dxa"/>
            <w:tcBorders>
              <w:top w:val="single" w:sz="4" w:space="0" w:color="auto"/>
              <w:left w:val="single" w:sz="4" w:space="0" w:color="auto"/>
              <w:bottom w:val="single" w:sz="4" w:space="0" w:color="auto"/>
              <w:right w:val="double" w:sz="4" w:space="0" w:color="auto"/>
            </w:tcBorders>
            <w:shd w:val="clear" w:color="auto" w:fill="auto"/>
            <w:vAlign w:val="bottom"/>
          </w:tcPr>
          <w:p w:rsidR="007C50D0" w:rsidRPr="007C50D0" w:rsidRDefault="007C50D0" w:rsidP="008619A6">
            <w:pPr>
              <w:contextualSpacing/>
              <w:jc w:val="right"/>
              <w:rPr>
                <w:bCs/>
                <w:i/>
                <w:sz w:val="24"/>
                <w:szCs w:val="24"/>
              </w:rPr>
            </w:pPr>
            <w:r w:rsidRPr="007C50D0">
              <w:rPr>
                <w:bCs/>
                <w:i/>
                <w:sz w:val="24"/>
                <w:szCs w:val="24"/>
              </w:rPr>
              <w:t>909</w:t>
            </w:r>
          </w:p>
        </w:tc>
      </w:tr>
      <w:tr w:rsidR="007C50D0" w:rsidRPr="007C50D0" w:rsidTr="007C50D0">
        <w:trPr>
          <w:trHeight w:val="66"/>
        </w:trPr>
        <w:tc>
          <w:tcPr>
            <w:tcW w:w="2716" w:type="dxa"/>
            <w:tcBorders>
              <w:top w:val="single" w:sz="4" w:space="0" w:color="auto"/>
              <w:left w:val="double" w:sz="4" w:space="0" w:color="auto"/>
              <w:bottom w:val="double" w:sz="4" w:space="0" w:color="auto"/>
              <w:right w:val="double" w:sz="4" w:space="0" w:color="auto"/>
            </w:tcBorders>
            <w:vAlign w:val="bottom"/>
          </w:tcPr>
          <w:p w:rsidR="007C50D0" w:rsidRPr="007C50D0" w:rsidRDefault="007C50D0" w:rsidP="008619A6">
            <w:pPr>
              <w:contextualSpacing/>
              <w:jc w:val="center"/>
              <w:rPr>
                <w:b/>
                <w:sz w:val="22"/>
                <w:szCs w:val="22"/>
              </w:rPr>
            </w:pPr>
            <w:r w:rsidRPr="007C50D0">
              <w:rPr>
                <w:b/>
                <w:sz w:val="22"/>
                <w:szCs w:val="22"/>
              </w:rPr>
              <w:t>%</w:t>
            </w:r>
          </w:p>
        </w:tc>
        <w:tc>
          <w:tcPr>
            <w:tcW w:w="1200" w:type="dxa"/>
            <w:tcBorders>
              <w:top w:val="single" w:sz="4" w:space="0" w:color="auto"/>
              <w:left w:val="double" w:sz="4" w:space="0" w:color="auto"/>
              <w:bottom w:val="double" w:sz="4" w:space="0" w:color="auto"/>
              <w:right w:val="single" w:sz="4" w:space="0" w:color="auto"/>
            </w:tcBorders>
            <w:shd w:val="clear" w:color="auto" w:fill="auto"/>
            <w:vAlign w:val="bottom"/>
          </w:tcPr>
          <w:p w:rsidR="007C50D0" w:rsidRPr="007C50D0" w:rsidRDefault="007C50D0" w:rsidP="008619A6">
            <w:pPr>
              <w:contextualSpacing/>
              <w:jc w:val="center"/>
              <w:rPr>
                <w:b/>
                <w:bCs/>
                <w:i/>
                <w:sz w:val="22"/>
                <w:szCs w:val="22"/>
              </w:rPr>
            </w:pPr>
            <w:r w:rsidRPr="007C50D0">
              <w:rPr>
                <w:b/>
                <w:bCs/>
                <w:i/>
                <w:sz w:val="22"/>
                <w:szCs w:val="22"/>
              </w:rPr>
              <w:t>4,3</w:t>
            </w:r>
          </w:p>
        </w:tc>
        <w:tc>
          <w:tcPr>
            <w:tcW w:w="1200" w:type="dxa"/>
            <w:tcBorders>
              <w:top w:val="single" w:sz="4" w:space="0" w:color="auto"/>
              <w:left w:val="single" w:sz="4" w:space="0" w:color="auto"/>
              <w:bottom w:val="double" w:sz="4" w:space="0" w:color="auto"/>
              <w:right w:val="single" w:sz="4" w:space="0" w:color="auto"/>
            </w:tcBorders>
            <w:vAlign w:val="bottom"/>
          </w:tcPr>
          <w:p w:rsidR="007C50D0" w:rsidRPr="007C50D0" w:rsidRDefault="007C50D0" w:rsidP="008619A6">
            <w:pPr>
              <w:contextualSpacing/>
              <w:jc w:val="center"/>
              <w:rPr>
                <w:b/>
                <w:bCs/>
                <w:i/>
                <w:sz w:val="22"/>
                <w:szCs w:val="22"/>
              </w:rPr>
            </w:pPr>
            <w:r w:rsidRPr="007C50D0">
              <w:rPr>
                <w:b/>
                <w:bCs/>
                <w:i/>
                <w:sz w:val="22"/>
                <w:szCs w:val="22"/>
              </w:rPr>
              <w:t>5,6</w:t>
            </w:r>
          </w:p>
        </w:tc>
        <w:tc>
          <w:tcPr>
            <w:tcW w:w="1320" w:type="dxa"/>
            <w:tcBorders>
              <w:top w:val="single" w:sz="4" w:space="0" w:color="auto"/>
              <w:left w:val="single" w:sz="4" w:space="0" w:color="auto"/>
              <w:bottom w:val="double" w:sz="4" w:space="0" w:color="auto"/>
              <w:right w:val="single" w:sz="4" w:space="0" w:color="auto"/>
            </w:tcBorders>
            <w:shd w:val="clear" w:color="auto" w:fill="auto"/>
            <w:vAlign w:val="bottom"/>
          </w:tcPr>
          <w:p w:rsidR="007C50D0" w:rsidRPr="007C50D0" w:rsidRDefault="007C50D0" w:rsidP="008619A6">
            <w:pPr>
              <w:contextualSpacing/>
              <w:jc w:val="center"/>
              <w:rPr>
                <w:b/>
                <w:bCs/>
                <w:i/>
                <w:sz w:val="24"/>
                <w:szCs w:val="24"/>
              </w:rPr>
            </w:pPr>
            <w:r w:rsidRPr="007C50D0">
              <w:rPr>
                <w:b/>
                <w:bCs/>
                <w:i/>
                <w:sz w:val="24"/>
                <w:szCs w:val="24"/>
              </w:rPr>
              <w:t>5,9</w:t>
            </w:r>
          </w:p>
        </w:tc>
        <w:tc>
          <w:tcPr>
            <w:tcW w:w="1320" w:type="dxa"/>
            <w:tcBorders>
              <w:top w:val="single" w:sz="4" w:space="0" w:color="auto"/>
              <w:left w:val="single" w:sz="4" w:space="0" w:color="auto"/>
              <w:bottom w:val="double" w:sz="4" w:space="0" w:color="auto"/>
              <w:right w:val="single" w:sz="4" w:space="0" w:color="auto"/>
            </w:tcBorders>
            <w:vAlign w:val="bottom"/>
          </w:tcPr>
          <w:p w:rsidR="007C50D0" w:rsidRPr="007C50D0" w:rsidRDefault="007C50D0" w:rsidP="008619A6">
            <w:pPr>
              <w:contextualSpacing/>
              <w:jc w:val="center"/>
              <w:rPr>
                <w:b/>
                <w:bCs/>
                <w:i/>
                <w:sz w:val="24"/>
                <w:szCs w:val="24"/>
              </w:rPr>
            </w:pPr>
            <w:r w:rsidRPr="007C50D0">
              <w:rPr>
                <w:b/>
                <w:bCs/>
                <w:i/>
                <w:sz w:val="24"/>
                <w:szCs w:val="24"/>
              </w:rPr>
              <w:t>7,5</w:t>
            </w:r>
          </w:p>
        </w:tc>
        <w:tc>
          <w:tcPr>
            <w:tcW w:w="1560" w:type="dxa"/>
            <w:tcBorders>
              <w:top w:val="single" w:sz="4" w:space="0" w:color="auto"/>
              <w:left w:val="single" w:sz="4" w:space="0" w:color="auto"/>
              <w:bottom w:val="double" w:sz="4" w:space="0" w:color="auto"/>
              <w:right w:val="double" w:sz="4" w:space="0" w:color="auto"/>
            </w:tcBorders>
            <w:shd w:val="clear" w:color="auto" w:fill="auto"/>
            <w:vAlign w:val="bottom"/>
          </w:tcPr>
          <w:p w:rsidR="007C50D0" w:rsidRPr="007C50D0" w:rsidRDefault="007C50D0" w:rsidP="008619A6">
            <w:pPr>
              <w:contextualSpacing/>
              <w:jc w:val="right"/>
              <w:rPr>
                <w:b/>
                <w:bCs/>
                <w:i/>
                <w:sz w:val="24"/>
                <w:szCs w:val="24"/>
              </w:rPr>
            </w:pPr>
            <w:r w:rsidRPr="007C50D0">
              <w:rPr>
                <w:b/>
                <w:bCs/>
                <w:i/>
                <w:sz w:val="24"/>
                <w:szCs w:val="24"/>
              </w:rPr>
              <w:t>8,2</w:t>
            </w:r>
          </w:p>
        </w:tc>
      </w:tr>
    </w:tbl>
    <w:p w:rsidR="00126E2E" w:rsidRDefault="00126E2E" w:rsidP="008619A6">
      <w:pPr>
        <w:ind w:firstLine="709"/>
        <w:contextualSpacing/>
        <w:jc w:val="both"/>
        <w:rPr>
          <w:sz w:val="24"/>
          <w:szCs w:val="24"/>
        </w:rPr>
      </w:pPr>
    </w:p>
    <w:p w:rsidR="007C50D0" w:rsidRPr="007C50D0" w:rsidRDefault="00126E2E" w:rsidP="008619A6">
      <w:pPr>
        <w:ind w:firstLine="709"/>
        <w:contextualSpacing/>
        <w:jc w:val="both"/>
        <w:rPr>
          <w:sz w:val="28"/>
          <w:szCs w:val="28"/>
        </w:rPr>
      </w:pPr>
      <w:r w:rsidRPr="00126E2E">
        <w:rPr>
          <w:sz w:val="28"/>
          <w:szCs w:val="28"/>
        </w:rPr>
        <w:t>Д</w:t>
      </w:r>
      <w:r w:rsidR="007C50D0" w:rsidRPr="00126E2E">
        <w:rPr>
          <w:sz w:val="28"/>
          <w:szCs w:val="28"/>
        </w:rPr>
        <w:t>анные за последние пять лет, представленные в Таблице 4, также</w:t>
      </w:r>
      <w:r w:rsidR="007C50D0" w:rsidRPr="007C50D0">
        <w:rPr>
          <w:sz w:val="28"/>
          <w:szCs w:val="28"/>
        </w:rPr>
        <w:t xml:space="preserve"> свидетельствует о сложившейся тенденции к увеличению общего срока нахождения уголовного дела в суде, как в абсолютном, так и в относительном исчислении. </w:t>
      </w:r>
    </w:p>
    <w:p w:rsidR="007C50D0" w:rsidRPr="007C50D0" w:rsidRDefault="007C50D0" w:rsidP="008619A6">
      <w:pPr>
        <w:ind w:firstLine="709"/>
        <w:contextualSpacing/>
        <w:jc w:val="both"/>
        <w:rPr>
          <w:sz w:val="28"/>
          <w:szCs w:val="28"/>
        </w:rPr>
      </w:pPr>
      <w:r w:rsidRPr="007C50D0">
        <w:rPr>
          <w:sz w:val="28"/>
          <w:szCs w:val="28"/>
        </w:rPr>
        <w:t>В частности, минимальное количество дел со сроком рассмотрения от полутора месяцев до трех, зафиксированное в 2013 году, постепенно увеличилось в 1,6 раза в последующие годы, несмотря на сохраняющуюся тенденцию уменьшения общего числа рассмотренных судами уголовных дел. Количество же уголовных дел со сроком рассмотрения, превышающим три месяца, по сравнению с 2013 годом увеличилось в 1,9 раза.</w:t>
      </w:r>
    </w:p>
    <w:p w:rsidR="007C50D0" w:rsidRDefault="007C50D0" w:rsidP="008619A6">
      <w:pPr>
        <w:ind w:firstLine="709"/>
        <w:contextualSpacing/>
        <w:jc w:val="both"/>
        <w:rPr>
          <w:sz w:val="28"/>
          <w:szCs w:val="28"/>
        </w:rPr>
      </w:pPr>
      <w:r w:rsidRPr="007C50D0">
        <w:rPr>
          <w:sz w:val="28"/>
          <w:szCs w:val="28"/>
        </w:rPr>
        <w:t xml:space="preserve">Вместе с этим наблюдается снижение темпа роста количества дел с общим сроком рассмотрения от полутора до трех месяцев. </w:t>
      </w:r>
    </w:p>
    <w:p w:rsidR="00126E2E" w:rsidRDefault="00126E2E" w:rsidP="008619A6">
      <w:pPr>
        <w:ind w:firstLine="709"/>
        <w:contextualSpacing/>
        <w:jc w:val="both"/>
        <w:rPr>
          <w:sz w:val="28"/>
          <w:szCs w:val="28"/>
        </w:rPr>
      </w:pPr>
    </w:p>
    <w:p w:rsidR="00126E2E" w:rsidRDefault="00126E2E" w:rsidP="008619A6">
      <w:pPr>
        <w:ind w:firstLine="709"/>
        <w:contextualSpacing/>
        <w:jc w:val="both"/>
        <w:rPr>
          <w:sz w:val="28"/>
          <w:szCs w:val="28"/>
        </w:rPr>
      </w:pPr>
    </w:p>
    <w:p w:rsidR="00126E2E" w:rsidRPr="007C50D0" w:rsidRDefault="00126E2E" w:rsidP="008619A6">
      <w:pPr>
        <w:ind w:firstLine="709"/>
        <w:contextualSpacing/>
        <w:jc w:val="both"/>
        <w:rPr>
          <w:sz w:val="28"/>
          <w:szCs w:val="28"/>
        </w:rPr>
      </w:pPr>
    </w:p>
    <w:p w:rsidR="007C50D0" w:rsidRPr="007C50D0" w:rsidRDefault="007C50D0" w:rsidP="008619A6">
      <w:pPr>
        <w:ind w:firstLine="900"/>
        <w:contextualSpacing/>
        <w:jc w:val="both"/>
        <w:rPr>
          <w:sz w:val="24"/>
          <w:szCs w:val="24"/>
        </w:rPr>
      </w:pPr>
      <w:r w:rsidRPr="007C50D0">
        <w:rPr>
          <w:sz w:val="24"/>
          <w:szCs w:val="24"/>
        </w:rPr>
        <w:lastRenderedPageBreak/>
        <w:t xml:space="preserve">                                                                                                             График 2</w:t>
      </w:r>
    </w:p>
    <w:p w:rsidR="007C50D0" w:rsidRPr="007C50D0" w:rsidRDefault="007C50D0" w:rsidP="008619A6">
      <w:pPr>
        <w:ind w:firstLine="900"/>
        <w:contextualSpacing/>
        <w:jc w:val="both"/>
        <w:rPr>
          <w:sz w:val="24"/>
          <w:szCs w:val="24"/>
        </w:rPr>
      </w:pPr>
      <w:r>
        <w:rPr>
          <w:noProof/>
          <w:sz w:val="24"/>
          <w:szCs w:val="24"/>
        </w:rPr>
        <w:drawing>
          <wp:inline distT="0" distB="0" distL="0" distR="0" wp14:anchorId="097C6F51" wp14:editId="05C71C91">
            <wp:extent cx="4991598" cy="2323071"/>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1735" cy="2323135"/>
                    </a:xfrm>
                    <a:prstGeom prst="rect">
                      <a:avLst/>
                    </a:prstGeom>
                    <a:noFill/>
                  </pic:spPr>
                </pic:pic>
              </a:graphicData>
            </a:graphic>
          </wp:inline>
        </w:drawing>
      </w:r>
    </w:p>
    <w:p w:rsidR="007C50D0" w:rsidRPr="007C50D0" w:rsidRDefault="007C50D0" w:rsidP="008619A6">
      <w:pPr>
        <w:ind w:firstLine="709"/>
        <w:contextualSpacing/>
        <w:jc w:val="both"/>
        <w:rPr>
          <w:sz w:val="28"/>
          <w:szCs w:val="28"/>
        </w:rPr>
      </w:pPr>
      <w:r w:rsidRPr="007C50D0">
        <w:rPr>
          <w:sz w:val="28"/>
          <w:szCs w:val="28"/>
        </w:rPr>
        <w:t>Сравнительные данные об общих сроках рассмотрения гражданских дел (включая сроки приостановления) за период с 2013 по 2017 годы представлены в Таблице 5 и на Графике 3.</w:t>
      </w:r>
    </w:p>
    <w:p w:rsidR="007C50D0" w:rsidRPr="007C50D0" w:rsidRDefault="007C50D0" w:rsidP="008619A6">
      <w:pPr>
        <w:ind w:firstLine="709"/>
        <w:contextualSpacing/>
        <w:jc w:val="both"/>
        <w:rPr>
          <w:sz w:val="28"/>
          <w:szCs w:val="28"/>
        </w:rPr>
      </w:pPr>
      <w:r w:rsidRPr="007C50D0">
        <w:rPr>
          <w:sz w:val="28"/>
          <w:szCs w:val="28"/>
        </w:rPr>
        <w:t>В 2017 году наблюдается увеличение удельного веса дел со сроком нахождения в суде, свыше установленного ГПК РФ до одного года, несмотря на значительное снижение общего количества рассмотренных гражданских дел (– 20194 дела или 18,6%).</w:t>
      </w:r>
    </w:p>
    <w:p w:rsidR="007C50D0" w:rsidRPr="007C50D0" w:rsidRDefault="007C50D0" w:rsidP="008619A6">
      <w:pPr>
        <w:ind w:firstLine="567"/>
        <w:contextualSpacing/>
        <w:jc w:val="both"/>
        <w:rPr>
          <w:sz w:val="24"/>
          <w:szCs w:val="24"/>
        </w:rPr>
      </w:pPr>
      <w:r w:rsidRPr="007C50D0">
        <w:rPr>
          <w:sz w:val="28"/>
          <w:szCs w:val="28"/>
        </w:rPr>
        <w:t xml:space="preserve">                                                                                                           </w:t>
      </w:r>
      <w:r w:rsidRPr="007C50D0">
        <w:rPr>
          <w:sz w:val="24"/>
          <w:szCs w:val="24"/>
        </w:rPr>
        <w:t xml:space="preserve">Таблица </w:t>
      </w:r>
      <w:r w:rsidR="00C02904">
        <w:rPr>
          <w:sz w:val="24"/>
          <w:szCs w:val="24"/>
        </w:rPr>
        <w:t>1</w:t>
      </w:r>
      <w:r w:rsidRPr="007C50D0">
        <w:rPr>
          <w:sz w:val="24"/>
          <w:szCs w:val="24"/>
        </w:rPr>
        <w:t>5</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395"/>
        <w:gridCol w:w="1417"/>
        <w:gridCol w:w="1320"/>
        <w:gridCol w:w="1320"/>
        <w:gridCol w:w="762"/>
      </w:tblGrid>
      <w:tr w:rsidR="007C50D0" w:rsidRPr="007C50D0" w:rsidTr="00126E2E">
        <w:trPr>
          <w:trHeight w:val="171"/>
        </w:trPr>
        <w:tc>
          <w:tcPr>
            <w:tcW w:w="9072" w:type="dxa"/>
            <w:gridSpan w:val="6"/>
            <w:tcBorders>
              <w:top w:val="doub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Сроки рассмотрения гражданских дел, включая срок приостановления,</w:t>
            </w:r>
          </w:p>
          <w:p w:rsidR="007C50D0" w:rsidRPr="007C50D0" w:rsidRDefault="007C50D0" w:rsidP="008619A6">
            <w:pPr>
              <w:contextualSpacing/>
              <w:jc w:val="center"/>
              <w:rPr>
                <w:b/>
                <w:sz w:val="24"/>
                <w:szCs w:val="24"/>
              </w:rPr>
            </w:pPr>
            <w:r w:rsidRPr="007C50D0">
              <w:rPr>
                <w:b/>
                <w:sz w:val="24"/>
                <w:szCs w:val="24"/>
              </w:rPr>
              <w:t>и их доля в количестве оконченных дел за 12 месяцев</w:t>
            </w:r>
          </w:p>
        </w:tc>
      </w:tr>
      <w:tr w:rsidR="007C50D0" w:rsidRPr="007C50D0" w:rsidTr="00126E2E">
        <w:trPr>
          <w:trHeight w:val="66"/>
        </w:trPr>
        <w:tc>
          <w:tcPr>
            <w:tcW w:w="2858" w:type="dxa"/>
            <w:tcBorders>
              <w:top w:val="single" w:sz="4" w:space="0" w:color="auto"/>
              <w:left w:val="double" w:sz="4" w:space="0" w:color="auto"/>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Сроки</w:t>
            </w:r>
          </w:p>
        </w:tc>
        <w:tc>
          <w:tcPr>
            <w:tcW w:w="1395" w:type="dxa"/>
            <w:tcBorders>
              <w:top w:val="single" w:sz="4" w:space="0" w:color="auto"/>
              <w:left w:val="doub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1417" w:type="dxa"/>
            <w:tcBorders>
              <w:top w:val="sing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1320" w:type="dxa"/>
            <w:tcBorders>
              <w:top w:val="sing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1320" w:type="dxa"/>
            <w:tcBorders>
              <w:top w:val="sing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762" w:type="dxa"/>
            <w:tcBorders>
              <w:top w:val="single" w:sz="4" w:space="0" w:color="auto"/>
              <w:left w:val="single" w:sz="4" w:space="0" w:color="auto"/>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126E2E">
        <w:trPr>
          <w:trHeight w:val="94"/>
        </w:trPr>
        <w:tc>
          <w:tcPr>
            <w:tcW w:w="2858" w:type="dxa"/>
            <w:tcBorders>
              <w:top w:val="thickThinLargeGap" w:sz="24" w:space="0" w:color="auto"/>
              <w:left w:val="double" w:sz="4" w:space="0" w:color="auto"/>
              <w:bottom w:val="dashSmallGap" w:sz="4" w:space="0" w:color="auto"/>
              <w:right w:val="double" w:sz="4" w:space="0" w:color="auto"/>
            </w:tcBorders>
            <w:vAlign w:val="center"/>
          </w:tcPr>
          <w:p w:rsidR="007C50D0" w:rsidRPr="007C50D0" w:rsidRDefault="007C50D0" w:rsidP="008619A6">
            <w:pPr>
              <w:contextualSpacing/>
              <w:jc w:val="center"/>
              <w:rPr>
                <w:b/>
                <w:sz w:val="24"/>
                <w:szCs w:val="24"/>
              </w:rPr>
            </w:pPr>
            <w:r w:rsidRPr="007C50D0">
              <w:rPr>
                <w:b/>
                <w:sz w:val="24"/>
                <w:szCs w:val="24"/>
              </w:rPr>
              <w:t>Свыше установленных ГПК РФ до 3 мес.</w:t>
            </w:r>
          </w:p>
        </w:tc>
        <w:tc>
          <w:tcPr>
            <w:tcW w:w="1395" w:type="dxa"/>
            <w:tcBorders>
              <w:top w:val="thickThinLargeGap" w:sz="24" w:space="0" w:color="auto"/>
              <w:left w:val="doub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9681</w:t>
            </w:r>
          </w:p>
        </w:tc>
        <w:tc>
          <w:tcPr>
            <w:tcW w:w="1417" w:type="dxa"/>
            <w:tcBorders>
              <w:top w:val="thickThinLargeGap" w:sz="24" w:space="0" w:color="auto"/>
              <w:left w:val="single" w:sz="4" w:space="0" w:color="auto"/>
              <w:bottom w:val="dashSmallGap" w:sz="4" w:space="0" w:color="auto"/>
              <w:right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10514</w:t>
            </w:r>
          </w:p>
        </w:tc>
        <w:tc>
          <w:tcPr>
            <w:tcW w:w="1320" w:type="dxa"/>
            <w:tcBorders>
              <w:top w:val="thickThinLargeGap" w:sz="2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11459</w:t>
            </w:r>
          </w:p>
        </w:tc>
        <w:tc>
          <w:tcPr>
            <w:tcW w:w="1320" w:type="dxa"/>
            <w:tcBorders>
              <w:top w:val="thickThinLargeGap" w:sz="24" w:space="0" w:color="auto"/>
              <w:left w:val="single" w:sz="4" w:space="0" w:color="auto"/>
              <w:bottom w:val="dashSmallGap" w:sz="4" w:space="0" w:color="auto"/>
              <w:right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8890</w:t>
            </w:r>
          </w:p>
        </w:tc>
        <w:tc>
          <w:tcPr>
            <w:tcW w:w="762" w:type="dxa"/>
            <w:tcBorders>
              <w:top w:val="thickThinLargeGap" w:sz="24" w:space="0" w:color="auto"/>
              <w:left w:val="single" w:sz="4" w:space="0" w:color="auto"/>
              <w:bottom w:val="dashSmallGap"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8062</w:t>
            </w:r>
          </w:p>
        </w:tc>
      </w:tr>
      <w:tr w:rsidR="007C50D0" w:rsidRPr="007C50D0" w:rsidTr="00126E2E">
        <w:trPr>
          <w:trHeight w:val="274"/>
        </w:trPr>
        <w:tc>
          <w:tcPr>
            <w:tcW w:w="2858" w:type="dxa"/>
            <w:tcBorders>
              <w:top w:val="dashSmallGap"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w:t>
            </w:r>
          </w:p>
        </w:tc>
        <w:tc>
          <w:tcPr>
            <w:tcW w:w="1395" w:type="dxa"/>
            <w:tcBorders>
              <w:top w:val="dashSmallGap"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7,5</w:t>
            </w:r>
          </w:p>
        </w:tc>
        <w:tc>
          <w:tcPr>
            <w:tcW w:w="1417" w:type="dxa"/>
            <w:tcBorders>
              <w:top w:val="dashSmallGap" w:sz="4" w:space="0" w:color="auto"/>
              <w:left w:val="sing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7,7</w:t>
            </w:r>
          </w:p>
        </w:tc>
        <w:tc>
          <w:tcPr>
            <w:tcW w:w="1320" w:type="dxa"/>
            <w:tcBorders>
              <w:top w:val="dashSmallGap" w:sz="4" w:space="0" w:color="auto"/>
              <w:left w:val="sing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8,0</w:t>
            </w:r>
          </w:p>
        </w:tc>
        <w:tc>
          <w:tcPr>
            <w:tcW w:w="1320" w:type="dxa"/>
            <w:tcBorders>
              <w:top w:val="dashSmallGap" w:sz="4" w:space="0" w:color="auto"/>
              <w:left w:val="sing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7,9</w:t>
            </w:r>
          </w:p>
        </w:tc>
        <w:tc>
          <w:tcPr>
            <w:tcW w:w="762" w:type="dxa"/>
            <w:tcBorders>
              <w:top w:val="dashSmallGap" w:sz="4" w:space="0" w:color="auto"/>
              <w:left w:val="sing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8,7</w:t>
            </w:r>
          </w:p>
        </w:tc>
      </w:tr>
      <w:tr w:rsidR="007C50D0" w:rsidRPr="007C50D0" w:rsidTr="00126E2E">
        <w:trPr>
          <w:trHeight w:val="89"/>
        </w:trPr>
        <w:tc>
          <w:tcPr>
            <w:tcW w:w="2858" w:type="dxa"/>
            <w:tcBorders>
              <w:top w:val="single" w:sz="4" w:space="0" w:color="auto"/>
              <w:left w:val="double" w:sz="4" w:space="0" w:color="auto"/>
              <w:bottom w:val="dashSmallGap" w:sz="4" w:space="0" w:color="auto"/>
              <w:right w:val="double" w:sz="4" w:space="0" w:color="auto"/>
            </w:tcBorders>
            <w:shd w:val="clear" w:color="auto" w:fill="auto"/>
            <w:vAlign w:val="center"/>
          </w:tcPr>
          <w:p w:rsidR="007C50D0" w:rsidRPr="007C50D0" w:rsidRDefault="007C50D0" w:rsidP="008619A6">
            <w:pPr>
              <w:contextualSpacing/>
              <w:jc w:val="center"/>
              <w:rPr>
                <w:b/>
                <w:bCs/>
                <w:i/>
                <w:iCs/>
                <w:sz w:val="24"/>
                <w:szCs w:val="24"/>
              </w:rPr>
            </w:pPr>
            <w:r w:rsidRPr="007C50D0">
              <w:rPr>
                <w:b/>
                <w:bCs/>
                <w:i/>
                <w:iCs/>
                <w:sz w:val="24"/>
                <w:szCs w:val="24"/>
              </w:rPr>
              <w:t>Свыше 3-х до 12 мес.</w:t>
            </w:r>
          </w:p>
        </w:tc>
        <w:tc>
          <w:tcPr>
            <w:tcW w:w="1395" w:type="dxa"/>
            <w:tcBorders>
              <w:top w:val="single" w:sz="4" w:space="0" w:color="auto"/>
              <w:left w:val="doub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13670</w:t>
            </w:r>
          </w:p>
        </w:tc>
        <w:tc>
          <w:tcPr>
            <w:tcW w:w="1417" w:type="dxa"/>
            <w:tcBorders>
              <w:top w:val="single" w:sz="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14717</w:t>
            </w:r>
          </w:p>
        </w:tc>
        <w:tc>
          <w:tcPr>
            <w:tcW w:w="1320" w:type="dxa"/>
            <w:tcBorders>
              <w:top w:val="single" w:sz="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15769</w:t>
            </w:r>
          </w:p>
        </w:tc>
        <w:tc>
          <w:tcPr>
            <w:tcW w:w="1320" w:type="dxa"/>
            <w:tcBorders>
              <w:top w:val="single" w:sz="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13380</w:t>
            </w:r>
          </w:p>
        </w:tc>
        <w:tc>
          <w:tcPr>
            <w:tcW w:w="762" w:type="dxa"/>
            <w:tcBorders>
              <w:top w:val="single" w:sz="4" w:space="0" w:color="auto"/>
              <w:left w:val="single" w:sz="4" w:space="0" w:color="auto"/>
              <w:bottom w:val="dashSmallGap"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12887</w:t>
            </w:r>
          </w:p>
        </w:tc>
      </w:tr>
      <w:tr w:rsidR="007C50D0" w:rsidRPr="007C50D0" w:rsidTr="00126E2E">
        <w:trPr>
          <w:trHeight w:val="280"/>
        </w:trPr>
        <w:tc>
          <w:tcPr>
            <w:tcW w:w="2858" w:type="dxa"/>
            <w:tcBorders>
              <w:top w:val="dashSmallGap"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w:t>
            </w:r>
          </w:p>
        </w:tc>
        <w:tc>
          <w:tcPr>
            <w:tcW w:w="1395" w:type="dxa"/>
            <w:tcBorders>
              <w:top w:val="dashSmallGap"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10,6</w:t>
            </w:r>
          </w:p>
        </w:tc>
        <w:tc>
          <w:tcPr>
            <w:tcW w:w="1417" w:type="dxa"/>
            <w:tcBorders>
              <w:top w:val="dashSmallGap" w:sz="4" w:space="0" w:color="auto"/>
              <w:left w:val="sing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10,8</w:t>
            </w:r>
          </w:p>
        </w:tc>
        <w:tc>
          <w:tcPr>
            <w:tcW w:w="1320" w:type="dxa"/>
            <w:tcBorders>
              <w:top w:val="dashSmallGap" w:sz="4" w:space="0" w:color="auto"/>
              <w:left w:val="sing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11,1</w:t>
            </w:r>
          </w:p>
        </w:tc>
        <w:tc>
          <w:tcPr>
            <w:tcW w:w="1320" w:type="dxa"/>
            <w:tcBorders>
              <w:top w:val="dashSmallGap" w:sz="4" w:space="0" w:color="auto"/>
              <w:left w:val="sing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11,9</w:t>
            </w:r>
          </w:p>
        </w:tc>
        <w:tc>
          <w:tcPr>
            <w:tcW w:w="762" w:type="dxa"/>
            <w:tcBorders>
              <w:top w:val="dashSmallGap" w:sz="4" w:space="0" w:color="auto"/>
              <w:left w:val="sing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14,0</w:t>
            </w:r>
          </w:p>
        </w:tc>
      </w:tr>
      <w:tr w:rsidR="007C50D0" w:rsidRPr="007C50D0" w:rsidTr="00126E2E">
        <w:trPr>
          <w:trHeight w:val="66"/>
        </w:trPr>
        <w:tc>
          <w:tcPr>
            <w:tcW w:w="2858" w:type="dxa"/>
            <w:tcBorders>
              <w:top w:val="single" w:sz="4" w:space="0" w:color="auto"/>
              <w:left w:val="double" w:sz="4" w:space="0" w:color="auto"/>
              <w:bottom w:val="dashSmallGap" w:sz="4" w:space="0" w:color="auto"/>
              <w:right w:val="double" w:sz="4" w:space="0" w:color="auto"/>
            </w:tcBorders>
            <w:shd w:val="clear" w:color="auto" w:fill="auto"/>
            <w:vAlign w:val="center"/>
          </w:tcPr>
          <w:p w:rsidR="007C50D0" w:rsidRPr="007C50D0" w:rsidRDefault="007C50D0" w:rsidP="008619A6">
            <w:pPr>
              <w:contextualSpacing/>
              <w:jc w:val="center"/>
              <w:rPr>
                <w:b/>
                <w:bCs/>
                <w:i/>
                <w:iCs/>
                <w:sz w:val="24"/>
                <w:szCs w:val="24"/>
              </w:rPr>
            </w:pPr>
            <w:r w:rsidRPr="007C50D0">
              <w:rPr>
                <w:b/>
                <w:bCs/>
                <w:i/>
                <w:iCs/>
                <w:sz w:val="24"/>
                <w:szCs w:val="24"/>
              </w:rPr>
              <w:t>Более 12 мес.</w:t>
            </w:r>
          </w:p>
        </w:tc>
        <w:tc>
          <w:tcPr>
            <w:tcW w:w="1395" w:type="dxa"/>
            <w:tcBorders>
              <w:top w:val="single" w:sz="4" w:space="0" w:color="auto"/>
              <w:left w:val="doub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329</w:t>
            </w:r>
          </w:p>
        </w:tc>
        <w:tc>
          <w:tcPr>
            <w:tcW w:w="1417" w:type="dxa"/>
            <w:tcBorders>
              <w:top w:val="single" w:sz="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346</w:t>
            </w:r>
          </w:p>
        </w:tc>
        <w:tc>
          <w:tcPr>
            <w:tcW w:w="1320" w:type="dxa"/>
            <w:tcBorders>
              <w:top w:val="single" w:sz="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243</w:t>
            </w:r>
          </w:p>
        </w:tc>
        <w:tc>
          <w:tcPr>
            <w:tcW w:w="1320" w:type="dxa"/>
            <w:tcBorders>
              <w:top w:val="single" w:sz="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226</w:t>
            </w:r>
          </w:p>
        </w:tc>
        <w:tc>
          <w:tcPr>
            <w:tcW w:w="762" w:type="dxa"/>
            <w:tcBorders>
              <w:top w:val="single" w:sz="4" w:space="0" w:color="auto"/>
              <w:left w:val="single" w:sz="4" w:space="0" w:color="auto"/>
              <w:bottom w:val="dashSmallGap"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105</w:t>
            </w:r>
          </w:p>
        </w:tc>
      </w:tr>
      <w:tr w:rsidR="007C50D0" w:rsidRPr="007C50D0" w:rsidTr="00126E2E">
        <w:trPr>
          <w:trHeight w:val="280"/>
        </w:trPr>
        <w:tc>
          <w:tcPr>
            <w:tcW w:w="2858" w:type="dxa"/>
            <w:tcBorders>
              <w:top w:val="dashSmallGap" w:sz="4" w:space="0" w:color="auto"/>
              <w:left w:val="double" w:sz="4" w:space="0" w:color="auto"/>
              <w:bottom w:val="double" w:sz="4" w:space="0" w:color="auto"/>
              <w:right w:val="double" w:sz="4" w:space="0" w:color="auto"/>
            </w:tcBorders>
            <w:vAlign w:val="center"/>
          </w:tcPr>
          <w:p w:rsidR="007C50D0" w:rsidRPr="007C50D0" w:rsidRDefault="007C50D0" w:rsidP="008619A6">
            <w:pPr>
              <w:contextualSpacing/>
              <w:jc w:val="center"/>
              <w:rPr>
                <w:sz w:val="24"/>
                <w:szCs w:val="24"/>
              </w:rPr>
            </w:pPr>
            <w:r w:rsidRPr="007C50D0">
              <w:rPr>
                <w:sz w:val="24"/>
                <w:szCs w:val="24"/>
              </w:rPr>
              <w:t>%</w:t>
            </w:r>
          </w:p>
        </w:tc>
        <w:tc>
          <w:tcPr>
            <w:tcW w:w="1395" w:type="dxa"/>
            <w:tcBorders>
              <w:top w:val="dashSmallGap" w:sz="4" w:space="0" w:color="auto"/>
              <w:left w:val="doub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0,3</w:t>
            </w:r>
          </w:p>
        </w:tc>
        <w:tc>
          <w:tcPr>
            <w:tcW w:w="1417" w:type="dxa"/>
            <w:tcBorders>
              <w:top w:val="dashSmallGap"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b/>
                <w:bCs/>
                <w:i/>
                <w:iCs/>
                <w:sz w:val="22"/>
                <w:szCs w:val="22"/>
              </w:rPr>
            </w:pPr>
            <w:r w:rsidRPr="007C50D0">
              <w:rPr>
                <w:b/>
                <w:bCs/>
                <w:i/>
                <w:iCs/>
                <w:sz w:val="22"/>
                <w:szCs w:val="22"/>
              </w:rPr>
              <w:t>0,3</w:t>
            </w:r>
          </w:p>
        </w:tc>
        <w:tc>
          <w:tcPr>
            <w:tcW w:w="1320" w:type="dxa"/>
            <w:tcBorders>
              <w:top w:val="dashSmallGap" w:sz="4" w:space="0" w:color="auto"/>
              <w:left w:val="sing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0,17</w:t>
            </w:r>
          </w:p>
        </w:tc>
        <w:tc>
          <w:tcPr>
            <w:tcW w:w="1320" w:type="dxa"/>
            <w:tcBorders>
              <w:top w:val="dashSmallGap"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b/>
                <w:bCs/>
                <w:i/>
                <w:iCs/>
                <w:sz w:val="22"/>
                <w:szCs w:val="22"/>
              </w:rPr>
            </w:pPr>
            <w:r w:rsidRPr="007C50D0">
              <w:rPr>
                <w:b/>
                <w:bCs/>
                <w:i/>
                <w:iCs/>
                <w:sz w:val="22"/>
                <w:szCs w:val="22"/>
              </w:rPr>
              <w:t>0,20</w:t>
            </w:r>
          </w:p>
        </w:tc>
        <w:tc>
          <w:tcPr>
            <w:tcW w:w="762" w:type="dxa"/>
            <w:tcBorders>
              <w:top w:val="dashSmallGap" w:sz="4" w:space="0" w:color="auto"/>
              <w:left w:val="single"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0,11</w:t>
            </w:r>
          </w:p>
        </w:tc>
      </w:tr>
    </w:tbl>
    <w:p w:rsidR="007C50D0" w:rsidRPr="007C50D0" w:rsidRDefault="007C50D0" w:rsidP="008619A6">
      <w:pPr>
        <w:ind w:firstLine="567"/>
        <w:contextualSpacing/>
        <w:jc w:val="both"/>
        <w:rPr>
          <w:sz w:val="28"/>
          <w:szCs w:val="28"/>
        </w:rPr>
      </w:pPr>
      <w:r w:rsidRPr="007C50D0">
        <w:rPr>
          <w:sz w:val="28"/>
          <w:szCs w:val="28"/>
        </w:rPr>
        <w:t>Вместе с этим на 121 дело, или на 0,1%, уменьшилось количество дел, находившихся в производстве суда более одного года.</w:t>
      </w:r>
    </w:p>
    <w:p w:rsidR="007C50D0" w:rsidRDefault="007C50D0" w:rsidP="008619A6">
      <w:pPr>
        <w:ind w:firstLine="567"/>
        <w:contextualSpacing/>
        <w:jc w:val="both"/>
        <w:rPr>
          <w:sz w:val="24"/>
          <w:szCs w:val="24"/>
        </w:rPr>
      </w:pPr>
      <w:r w:rsidRPr="007C50D0">
        <w:rPr>
          <w:sz w:val="24"/>
          <w:szCs w:val="24"/>
        </w:rPr>
        <w:t xml:space="preserve">                                                                                                                    График 3</w:t>
      </w:r>
    </w:p>
    <w:p w:rsidR="00A64F9C" w:rsidRPr="007C50D0" w:rsidRDefault="00A64F9C" w:rsidP="00A64F9C">
      <w:pPr>
        <w:ind w:left="567" w:firstLine="142"/>
        <w:contextualSpacing/>
        <w:jc w:val="center"/>
        <w:rPr>
          <w:sz w:val="24"/>
          <w:szCs w:val="24"/>
        </w:rPr>
      </w:pPr>
      <w:r>
        <w:rPr>
          <w:noProof/>
        </w:rPr>
        <w:drawing>
          <wp:inline distT="0" distB="0" distL="0" distR="0" wp14:anchorId="6E01BFAF" wp14:editId="7602E74C">
            <wp:extent cx="5025081" cy="2290119"/>
            <wp:effectExtent l="0" t="0" r="23495" b="1524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26E2E" w:rsidRPr="007C50D0" w:rsidRDefault="00126E2E" w:rsidP="00126E2E">
      <w:pPr>
        <w:ind w:firstLine="567"/>
        <w:contextualSpacing/>
        <w:jc w:val="both"/>
        <w:rPr>
          <w:sz w:val="28"/>
          <w:szCs w:val="28"/>
        </w:rPr>
      </w:pPr>
      <w:r w:rsidRPr="00126E2E">
        <w:rPr>
          <w:sz w:val="28"/>
          <w:szCs w:val="28"/>
        </w:rPr>
        <w:lastRenderedPageBreak/>
        <w:t>На графике 3 показан характер изменения относительных значений данных показателей за последние пять лет.</w:t>
      </w:r>
    </w:p>
    <w:p w:rsidR="007C50D0" w:rsidRPr="007C50D0" w:rsidRDefault="007C50D0" w:rsidP="008619A6">
      <w:pPr>
        <w:ind w:firstLine="567"/>
        <w:contextualSpacing/>
        <w:jc w:val="both"/>
        <w:rPr>
          <w:sz w:val="28"/>
          <w:szCs w:val="28"/>
        </w:rPr>
      </w:pPr>
      <w:r w:rsidRPr="007C50D0">
        <w:rPr>
          <w:sz w:val="28"/>
          <w:szCs w:val="28"/>
        </w:rPr>
        <w:t xml:space="preserve">Общие сроки рассмотрения административных дел характеризуются следующими данными. </w:t>
      </w:r>
    </w:p>
    <w:p w:rsidR="007C50D0" w:rsidRPr="007C50D0" w:rsidRDefault="007C50D0" w:rsidP="008619A6">
      <w:pPr>
        <w:ind w:firstLine="567"/>
        <w:contextualSpacing/>
        <w:jc w:val="both"/>
        <w:rPr>
          <w:sz w:val="28"/>
          <w:szCs w:val="28"/>
        </w:rPr>
      </w:pPr>
      <w:r w:rsidRPr="007C50D0">
        <w:rPr>
          <w:sz w:val="28"/>
          <w:szCs w:val="28"/>
        </w:rPr>
        <w:t xml:space="preserve">Количество дел, рассмотренных в сроки, свыше установленных КАС РФ до трех месяцев включительно, увеличилось по сравнению с прошлым годом на 25,6%. Доля таких </w:t>
      </w:r>
      <w:proofErr w:type="gramStart"/>
      <w:r w:rsidRPr="007C50D0">
        <w:rPr>
          <w:sz w:val="28"/>
          <w:szCs w:val="28"/>
        </w:rPr>
        <w:t>дел</w:t>
      </w:r>
      <w:proofErr w:type="gramEnd"/>
      <w:r w:rsidRPr="007C50D0">
        <w:rPr>
          <w:sz w:val="28"/>
          <w:szCs w:val="28"/>
        </w:rPr>
        <w:t xml:space="preserve"> в общем количестве рассмотренных составила 20,3%, что в 3,2 раза превышает уровень прошлого отчетного периода.</w:t>
      </w:r>
    </w:p>
    <w:p w:rsidR="007C50D0" w:rsidRPr="007C50D0" w:rsidRDefault="007C50D0" w:rsidP="008619A6">
      <w:pPr>
        <w:ind w:firstLine="567"/>
        <w:contextualSpacing/>
        <w:jc w:val="both"/>
        <w:rPr>
          <w:sz w:val="28"/>
          <w:szCs w:val="28"/>
        </w:rPr>
      </w:pPr>
      <w:r w:rsidRPr="007C50D0">
        <w:rPr>
          <w:sz w:val="28"/>
          <w:szCs w:val="28"/>
        </w:rPr>
        <w:t>Количество административных дел, находившихся на рассмотрении суда свыше трех месяцев до года, напротив, уменьшилось в 3,8 раза. Удельный вес этих дел в общем количестве рассмотренных в 2017 году составил 1,5%, что на 0,7% меньше, чем в 2016 году.</w:t>
      </w:r>
    </w:p>
    <w:p w:rsidR="007C50D0" w:rsidRDefault="007C50D0" w:rsidP="008619A6">
      <w:pPr>
        <w:ind w:firstLine="567"/>
        <w:contextualSpacing/>
        <w:jc w:val="both"/>
        <w:rPr>
          <w:sz w:val="28"/>
          <w:szCs w:val="28"/>
        </w:rPr>
      </w:pPr>
      <w:r w:rsidRPr="007C50D0">
        <w:rPr>
          <w:sz w:val="28"/>
          <w:szCs w:val="28"/>
        </w:rPr>
        <w:t>Сравнительную оценку значений данных показателей следует проводить с учетом значительного уменьшения общего количества рассмотренных административных дел.</w:t>
      </w:r>
    </w:p>
    <w:p w:rsidR="00126E2E" w:rsidRPr="007C50D0" w:rsidRDefault="00126E2E" w:rsidP="008619A6">
      <w:pPr>
        <w:ind w:firstLine="567"/>
        <w:contextualSpacing/>
        <w:jc w:val="both"/>
        <w:rPr>
          <w:sz w:val="28"/>
          <w:szCs w:val="28"/>
        </w:rPr>
      </w:pPr>
    </w:p>
    <w:p w:rsidR="007C50D0" w:rsidRPr="007C50D0" w:rsidRDefault="007C50D0" w:rsidP="008619A6">
      <w:pPr>
        <w:ind w:firstLine="567"/>
        <w:contextualSpacing/>
        <w:jc w:val="both"/>
        <w:rPr>
          <w:sz w:val="24"/>
          <w:szCs w:val="24"/>
        </w:rPr>
      </w:pPr>
      <w:r w:rsidRPr="007C50D0">
        <w:rPr>
          <w:sz w:val="28"/>
          <w:szCs w:val="28"/>
        </w:rPr>
        <w:t xml:space="preserve">                                                                                            </w:t>
      </w:r>
      <w:r w:rsidRPr="007C50D0">
        <w:rPr>
          <w:sz w:val="24"/>
          <w:szCs w:val="24"/>
        </w:rPr>
        <w:t xml:space="preserve">Таблица </w:t>
      </w:r>
      <w:r w:rsidR="00C02904">
        <w:rPr>
          <w:sz w:val="24"/>
          <w:szCs w:val="24"/>
        </w:rPr>
        <w:t>1</w:t>
      </w:r>
      <w:r w:rsidRPr="007C50D0">
        <w:rPr>
          <w:sz w:val="24"/>
          <w:szCs w:val="24"/>
        </w:rPr>
        <w:t>5.1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1395"/>
        <w:gridCol w:w="1417"/>
        <w:gridCol w:w="1320"/>
        <w:gridCol w:w="1320"/>
        <w:gridCol w:w="762"/>
      </w:tblGrid>
      <w:tr w:rsidR="007C50D0" w:rsidRPr="007C50D0" w:rsidTr="00126E2E">
        <w:trPr>
          <w:trHeight w:val="299"/>
        </w:trPr>
        <w:tc>
          <w:tcPr>
            <w:tcW w:w="9214" w:type="dxa"/>
            <w:gridSpan w:val="6"/>
            <w:tcBorders>
              <w:top w:val="doub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Сроки рассмотрения административных дел, включая срок приостановления,</w:t>
            </w:r>
          </w:p>
          <w:p w:rsidR="007C50D0" w:rsidRPr="007C50D0" w:rsidRDefault="007C50D0" w:rsidP="008619A6">
            <w:pPr>
              <w:contextualSpacing/>
              <w:jc w:val="center"/>
              <w:rPr>
                <w:b/>
                <w:sz w:val="24"/>
                <w:szCs w:val="24"/>
              </w:rPr>
            </w:pPr>
            <w:r w:rsidRPr="007C50D0">
              <w:rPr>
                <w:b/>
                <w:sz w:val="24"/>
                <w:szCs w:val="24"/>
              </w:rPr>
              <w:t>и их доля в количестве оконченных дел за 12 месяцев</w:t>
            </w:r>
          </w:p>
        </w:tc>
      </w:tr>
      <w:tr w:rsidR="007C50D0" w:rsidRPr="007C50D0" w:rsidTr="00126E2E">
        <w:trPr>
          <w:trHeight w:val="171"/>
        </w:trPr>
        <w:tc>
          <w:tcPr>
            <w:tcW w:w="3000" w:type="dxa"/>
            <w:tcBorders>
              <w:top w:val="single" w:sz="4" w:space="0" w:color="auto"/>
              <w:left w:val="double" w:sz="4" w:space="0" w:color="auto"/>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Сроки</w:t>
            </w:r>
          </w:p>
        </w:tc>
        <w:tc>
          <w:tcPr>
            <w:tcW w:w="1395" w:type="dxa"/>
            <w:tcBorders>
              <w:top w:val="single" w:sz="4" w:space="0" w:color="auto"/>
              <w:left w:val="doub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1417" w:type="dxa"/>
            <w:tcBorders>
              <w:top w:val="sing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1320" w:type="dxa"/>
            <w:tcBorders>
              <w:top w:val="sing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1320" w:type="dxa"/>
            <w:tcBorders>
              <w:top w:val="sing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762" w:type="dxa"/>
            <w:tcBorders>
              <w:top w:val="single" w:sz="4" w:space="0" w:color="auto"/>
              <w:left w:val="single" w:sz="4" w:space="0" w:color="auto"/>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126E2E">
        <w:trPr>
          <w:trHeight w:val="66"/>
        </w:trPr>
        <w:tc>
          <w:tcPr>
            <w:tcW w:w="3000" w:type="dxa"/>
            <w:tcBorders>
              <w:top w:val="thickThinLargeGap" w:sz="24" w:space="0" w:color="auto"/>
              <w:left w:val="double" w:sz="4" w:space="0" w:color="auto"/>
              <w:bottom w:val="dashSmallGap" w:sz="4" w:space="0" w:color="auto"/>
              <w:right w:val="double" w:sz="4" w:space="0" w:color="auto"/>
            </w:tcBorders>
            <w:vAlign w:val="center"/>
          </w:tcPr>
          <w:p w:rsidR="007C50D0" w:rsidRPr="007C50D0" w:rsidRDefault="007C50D0" w:rsidP="008619A6">
            <w:pPr>
              <w:contextualSpacing/>
              <w:jc w:val="center"/>
              <w:rPr>
                <w:b/>
                <w:sz w:val="24"/>
                <w:szCs w:val="24"/>
              </w:rPr>
            </w:pPr>
            <w:r w:rsidRPr="007C50D0">
              <w:rPr>
                <w:b/>
                <w:sz w:val="24"/>
                <w:szCs w:val="24"/>
              </w:rPr>
              <w:t>Свыше установленных КАС РФ до 3 мес.</w:t>
            </w:r>
          </w:p>
        </w:tc>
        <w:tc>
          <w:tcPr>
            <w:tcW w:w="1395" w:type="dxa"/>
            <w:tcBorders>
              <w:top w:val="thickThinLargeGap" w:sz="24" w:space="0" w:color="auto"/>
              <w:left w:val="doub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p>
        </w:tc>
        <w:tc>
          <w:tcPr>
            <w:tcW w:w="1417" w:type="dxa"/>
            <w:tcBorders>
              <w:top w:val="thickThinLargeGap" w:sz="24" w:space="0" w:color="auto"/>
              <w:left w:val="single" w:sz="4" w:space="0" w:color="auto"/>
              <w:bottom w:val="dashSmallGap" w:sz="4" w:space="0" w:color="auto"/>
              <w:right w:val="single" w:sz="4" w:space="0" w:color="auto"/>
            </w:tcBorders>
            <w:vAlign w:val="center"/>
          </w:tcPr>
          <w:p w:rsidR="007C50D0" w:rsidRPr="007C50D0" w:rsidRDefault="007C50D0" w:rsidP="008619A6">
            <w:pPr>
              <w:contextualSpacing/>
              <w:jc w:val="center"/>
              <w:rPr>
                <w:i/>
                <w:sz w:val="24"/>
                <w:szCs w:val="24"/>
              </w:rPr>
            </w:pPr>
          </w:p>
        </w:tc>
        <w:tc>
          <w:tcPr>
            <w:tcW w:w="1320" w:type="dxa"/>
            <w:tcBorders>
              <w:top w:val="thickThinLargeGap" w:sz="2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p>
        </w:tc>
        <w:tc>
          <w:tcPr>
            <w:tcW w:w="1320" w:type="dxa"/>
            <w:tcBorders>
              <w:top w:val="thickThinLargeGap" w:sz="24" w:space="0" w:color="auto"/>
              <w:left w:val="single" w:sz="4" w:space="0" w:color="auto"/>
              <w:bottom w:val="dashSmallGap"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1721</w:t>
            </w:r>
          </w:p>
        </w:tc>
        <w:tc>
          <w:tcPr>
            <w:tcW w:w="762" w:type="dxa"/>
            <w:tcBorders>
              <w:top w:val="thickThinLargeGap" w:sz="24" w:space="0" w:color="auto"/>
              <w:left w:val="single" w:sz="4" w:space="0" w:color="auto"/>
              <w:bottom w:val="dashSmallGap"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2162</w:t>
            </w:r>
          </w:p>
        </w:tc>
      </w:tr>
      <w:tr w:rsidR="007C50D0" w:rsidRPr="007C50D0" w:rsidTr="00126E2E">
        <w:trPr>
          <w:trHeight w:val="274"/>
        </w:trPr>
        <w:tc>
          <w:tcPr>
            <w:tcW w:w="3000" w:type="dxa"/>
            <w:tcBorders>
              <w:top w:val="dashSmallGap"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sz w:val="22"/>
                <w:szCs w:val="22"/>
              </w:rPr>
            </w:pPr>
            <w:r w:rsidRPr="007C50D0">
              <w:rPr>
                <w:sz w:val="22"/>
                <w:szCs w:val="22"/>
              </w:rPr>
              <w:t>%</w:t>
            </w:r>
          </w:p>
        </w:tc>
        <w:tc>
          <w:tcPr>
            <w:tcW w:w="1395" w:type="dxa"/>
            <w:tcBorders>
              <w:top w:val="dashSmallGap"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p>
        </w:tc>
        <w:tc>
          <w:tcPr>
            <w:tcW w:w="1417" w:type="dxa"/>
            <w:tcBorders>
              <w:top w:val="dashSmallGap" w:sz="4" w:space="0" w:color="auto"/>
              <w:left w:val="sing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p>
        </w:tc>
        <w:tc>
          <w:tcPr>
            <w:tcW w:w="1320" w:type="dxa"/>
            <w:tcBorders>
              <w:top w:val="dashSmallGap" w:sz="4" w:space="0" w:color="auto"/>
              <w:left w:val="sing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p>
        </w:tc>
        <w:tc>
          <w:tcPr>
            <w:tcW w:w="1320" w:type="dxa"/>
            <w:tcBorders>
              <w:top w:val="dashSmallGap" w:sz="4" w:space="0" w:color="auto"/>
              <w:left w:val="sing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6,4</w:t>
            </w:r>
          </w:p>
        </w:tc>
        <w:tc>
          <w:tcPr>
            <w:tcW w:w="762" w:type="dxa"/>
            <w:tcBorders>
              <w:top w:val="dashSmallGap" w:sz="4" w:space="0" w:color="auto"/>
              <w:left w:val="sing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20,3</w:t>
            </w:r>
          </w:p>
        </w:tc>
      </w:tr>
      <w:tr w:rsidR="007C50D0" w:rsidRPr="007C50D0" w:rsidTr="00126E2E">
        <w:trPr>
          <w:trHeight w:val="66"/>
        </w:trPr>
        <w:tc>
          <w:tcPr>
            <w:tcW w:w="3000" w:type="dxa"/>
            <w:tcBorders>
              <w:top w:val="single" w:sz="4" w:space="0" w:color="auto"/>
              <w:left w:val="double" w:sz="4" w:space="0" w:color="auto"/>
              <w:bottom w:val="dashSmallGap" w:sz="4" w:space="0" w:color="auto"/>
              <w:right w:val="double" w:sz="4" w:space="0" w:color="auto"/>
            </w:tcBorders>
            <w:shd w:val="clear" w:color="auto" w:fill="auto"/>
            <w:vAlign w:val="center"/>
          </w:tcPr>
          <w:p w:rsidR="007C50D0" w:rsidRPr="007C50D0" w:rsidRDefault="007C50D0" w:rsidP="008619A6">
            <w:pPr>
              <w:contextualSpacing/>
              <w:jc w:val="center"/>
              <w:rPr>
                <w:b/>
                <w:bCs/>
                <w:i/>
                <w:iCs/>
                <w:sz w:val="24"/>
                <w:szCs w:val="24"/>
              </w:rPr>
            </w:pPr>
            <w:r w:rsidRPr="007C50D0">
              <w:rPr>
                <w:b/>
                <w:bCs/>
                <w:i/>
                <w:iCs/>
                <w:sz w:val="24"/>
                <w:szCs w:val="24"/>
              </w:rPr>
              <w:t>Свыше 3-х до 12 мес.</w:t>
            </w:r>
          </w:p>
        </w:tc>
        <w:tc>
          <w:tcPr>
            <w:tcW w:w="1395" w:type="dxa"/>
            <w:tcBorders>
              <w:top w:val="single" w:sz="4" w:space="0" w:color="auto"/>
              <w:left w:val="doub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p>
        </w:tc>
        <w:tc>
          <w:tcPr>
            <w:tcW w:w="1417" w:type="dxa"/>
            <w:tcBorders>
              <w:top w:val="single" w:sz="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p>
        </w:tc>
        <w:tc>
          <w:tcPr>
            <w:tcW w:w="1320" w:type="dxa"/>
            <w:tcBorders>
              <w:top w:val="single" w:sz="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p>
        </w:tc>
        <w:tc>
          <w:tcPr>
            <w:tcW w:w="1320" w:type="dxa"/>
            <w:tcBorders>
              <w:top w:val="single" w:sz="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594</w:t>
            </w:r>
          </w:p>
        </w:tc>
        <w:tc>
          <w:tcPr>
            <w:tcW w:w="762" w:type="dxa"/>
            <w:tcBorders>
              <w:top w:val="single" w:sz="4" w:space="0" w:color="auto"/>
              <w:left w:val="single" w:sz="4" w:space="0" w:color="auto"/>
              <w:bottom w:val="dashSmallGap"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158</w:t>
            </w:r>
          </w:p>
        </w:tc>
      </w:tr>
      <w:tr w:rsidR="007C50D0" w:rsidRPr="007C50D0" w:rsidTr="00126E2E">
        <w:trPr>
          <w:trHeight w:val="280"/>
        </w:trPr>
        <w:tc>
          <w:tcPr>
            <w:tcW w:w="3000" w:type="dxa"/>
            <w:tcBorders>
              <w:top w:val="dashSmallGap"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sz w:val="22"/>
                <w:szCs w:val="22"/>
              </w:rPr>
            </w:pPr>
            <w:r w:rsidRPr="007C50D0">
              <w:rPr>
                <w:sz w:val="22"/>
                <w:szCs w:val="22"/>
              </w:rPr>
              <w:t>%</w:t>
            </w:r>
          </w:p>
        </w:tc>
        <w:tc>
          <w:tcPr>
            <w:tcW w:w="1395" w:type="dxa"/>
            <w:tcBorders>
              <w:top w:val="dashSmallGap"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p>
        </w:tc>
        <w:tc>
          <w:tcPr>
            <w:tcW w:w="1417" w:type="dxa"/>
            <w:tcBorders>
              <w:top w:val="dashSmallGap" w:sz="4" w:space="0" w:color="auto"/>
              <w:left w:val="sing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p>
        </w:tc>
        <w:tc>
          <w:tcPr>
            <w:tcW w:w="1320" w:type="dxa"/>
            <w:tcBorders>
              <w:top w:val="dashSmallGap" w:sz="4" w:space="0" w:color="auto"/>
              <w:left w:val="sing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p>
        </w:tc>
        <w:tc>
          <w:tcPr>
            <w:tcW w:w="1320" w:type="dxa"/>
            <w:tcBorders>
              <w:top w:val="dashSmallGap" w:sz="4" w:space="0" w:color="auto"/>
              <w:left w:val="sing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2,2</w:t>
            </w:r>
          </w:p>
        </w:tc>
        <w:tc>
          <w:tcPr>
            <w:tcW w:w="762" w:type="dxa"/>
            <w:tcBorders>
              <w:top w:val="dashSmallGap" w:sz="4" w:space="0" w:color="auto"/>
              <w:left w:val="sing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1,5</w:t>
            </w:r>
          </w:p>
        </w:tc>
      </w:tr>
      <w:tr w:rsidR="007C50D0" w:rsidRPr="007C50D0" w:rsidTr="00126E2E">
        <w:trPr>
          <w:trHeight w:val="66"/>
        </w:trPr>
        <w:tc>
          <w:tcPr>
            <w:tcW w:w="3000" w:type="dxa"/>
            <w:tcBorders>
              <w:top w:val="single" w:sz="4" w:space="0" w:color="auto"/>
              <w:left w:val="double" w:sz="4" w:space="0" w:color="auto"/>
              <w:bottom w:val="dashSmallGap" w:sz="4" w:space="0" w:color="auto"/>
              <w:right w:val="double" w:sz="4" w:space="0" w:color="auto"/>
            </w:tcBorders>
            <w:shd w:val="clear" w:color="auto" w:fill="auto"/>
            <w:vAlign w:val="center"/>
          </w:tcPr>
          <w:p w:rsidR="007C50D0" w:rsidRPr="007C50D0" w:rsidRDefault="007C50D0" w:rsidP="008619A6">
            <w:pPr>
              <w:contextualSpacing/>
              <w:jc w:val="center"/>
              <w:rPr>
                <w:b/>
                <w:bCs/>
                <w:i/>
                <w:iCs/>
                <w:sz w:val="24"/>
                <w:szCs w:val="24"/>
              </w:rPr>
            </w:pPr>
            <w:r w:rsidRPr="007C50D0">
              <w:rPr>
                <w:b/>
                <w:bCs/>
                <w:i/>
                <w:iCs/>
                <w:sz w:val="24"/>
                <w:szCs w:val="24"/>
              </w:rPr>
              <w:t>Более 12 мес.</w:t>
            </w:r>
          </w:p>
        </w:tc>
        <w:tc>
          <w:tcPr>
            <w:tcW w:w="1395" w:type="dxa"/>
            <w:tcBorders>
              <w:top w:val="single" w:sz="4" w:space="0" w:color="auto"/>
              <w:left w:val="doub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p>
        </w:tc>
        <w:tc>
          <w:tcPr>
            <w:tcW w:w="1417" w:type="dxa"/>
            <w:tcBorders>
              <w:top w:val="single" w:sz="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p>
        </w:tc>
        <w:tc>
          <w:tcPr>
            <w:tcW w:w="1320" w:type="dxa"/>
            <w:tcBorders>
              <w:top w:val="single" w:sz="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p>
        </w:tc>
        <w:tc>
          <w:tcPr>
            <w:tcW w:w="1320" w:type="dxa"/>
            <w:tcBorders>
              <w:top w:val="single" w:sz="4" w:space="0" w:color="auto"/>
              <w:left w:val="single" w:sz="4" w:space="0" w:color="auto"/>
              <w:bottom w:val="dashSmallGap" w:sz="4" w:space="0" w:color="auto"/>
              <w:right w:val="sing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1</w:t>
            </w:r>
          </w:p>
        </w:tc>
        <w:tc>
          <w:tcPr>
            <w:tcW w:w="762" w:type="dxa"/>
            <w:tcBorders>
              <w:top w:val="single" w:sz="4" w:space="0" w:color="auto"/>
              <w:left w:val="single" w:sz="4" w:space="0" w:color="auto"/>
              <w:bottom w:val="dashSmallGap"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0</w:t>
            </w:r>
          </w:p>
        </w:tc>
      </w:tr>
      <w:tr w:rsidR="007C50D0" w:rsidRPr="007C50D0" w:rsidTr="00126E2E">
        <w:trPr>
          <w:trHeight w:val="280"/>
        </w:trPr>
        <w:tc>
          <w:tcPr>
            <w:tcW w:w="3000" w:type="dxa"/>
            <w:tcBorders>
              <w:top w:val="dashSmallGap" w:sz="4" w:space="0" w:color="auto"/>
              <w:left w:val="double" w:sz="4" w:space="0" w:color="auto"/>
              <w:bottom w:val="double" w:sz="4" w:space="0" w:color="auto"/>
              <w:right w:val="double" w:sz="4" w:space="0" w:color="auto"/>
            </w:tcBorders>
            <w:vAlign w:val="center"/>
          </w:tcPr>
          <w:p w:rsidR="007C50D0" w:rsidRPr="007C50D0" w:rsidRDefault="007C50D0" w:rsidP="008619A6">
            <w:pPr>
              <w:contextualSpacing/>
              <w:jc w:val="center"/>
              <w:rPr>
                <w:sz w:val="22"/>
                <w:szCs w:val="22"/>
              </w:rPr>
            </w:pPr>
            <w:r w:rsidRPr="007C50D0">
              <w:rPr>
                <w:sz w:val="22"/>
                <w:szCs w:val="22"/>
              </w:rPr>
              <w:t>%</w:t>
            </w:r>
          </w:p>
        </w:tc>
        <w:tc>
          <w:tcPr>
            <w:tcW w:w="1395" w:type="dxa"/>
            <w:tcBorders>
              <w:top w:val="dashSmallGap" w:sz="4" w:space="0" w:color="auto"/>
              <w:left w:val="doub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p>
        </w:tc>
        <w:tc>
          <w:tcPr>
            <w:tcW w:w="1417" w:type="dxa"/>
            <w:tcBorders>
              <w:top w:val="dashSmallGap"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b/>
                <w:bCs/>
                <w:i/>
                <w:iCs/>
                <w:sz w:val="22"/>
                <w:szCs w:val="22"/>
              </w:rPr>
            </w:pPr>
          </w:p>
        </w:tc>
        <w:tc>
          <w:tcPr>
            <w:tcW w:w="1320" w:type="dxa"/>
            <w:tcBorders>
              <w:top w:val="dashSmallGap" w:sz="4" w:space="0" w:color="auto"/>
              <w:left w:val="sing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rPr>
                <w:b/>
                <w:bCs/>
                <w:i/>
                <w:iCs/>
                <w:sz w:val="22"/>
                <w:szCs w:val="22"/>
              </w:rPr>
            </w:pPr>
          </w:p>
        </w:tc>
        <w:tc>
          <w:tcPr>
            <w:tcW w:w="1320" w:type="dxa"/>
            <w:tcBorders>
              <w:top w:val="dashSmallGap"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b/>
                <w:bCs/>
                <w:i/>
                <w:iCs/>
                <w:sz w:val="22"/>
                <w:szCs w:val="22"/>
              </w:rPr>
            </w:pPr>
            <w:r w:rsidRPr="007C50D0">
              <w:rPr>
                <w:b/>
                <w:bCs/>
                <w:i/>
                <w:iCs/>
                <w:sz w:val="22"/>
                <w:szCs w:val="22"/>
              </w:rPr>
              <w:t>0,00</w:t>
            </w:r>
          </w:p>
        </w:tc>
        <w:tc>
          <w:tcPr>
            <w:tcW w:w="762" w:type="dxa"/>
            <w:tcBorders>
              <w:top w:val="dashSmallGap" w:sz="4" w:space="0" w:color="auto"/>
              <w:left w:val="single"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b/>
                <w:bCs/>
                <w:i/>
                <w:iCs/>
                <w:sz w:val="22"/>
                <w:szCs w:val="22"/>
              </w:rPr>
            </w:pPr>
            <w:r w:rsidRPr="007C50D0">
              <w:rPr>
                <w:b/>
                <w:bCs/>
                <w:i/>
                <w:iCs/>
                <w:sz w:val="22"/>
                <w:szCs w:val="22"/>
              </w:rPr>
              <w:t>0,00</w:t>
            </w:r>
          </w:p>
        </w:tc>
      </w:tr>
    </w:tbl>
    <w:p w:rsidR="007C50D0" w:rsidRPr="007C50D0" w:rsidRDefault="007C50D0" w:rsidP="008619A6">
      <w:pPr>
        <w:ind w:firstLine="567"/>
        <w:contextualSpacing/>
        <w:jc w:val="both"/>
        <w:rPr>
          <w:sz w:val="28"/>
          <w:szCs w:val="28"/>
        </w:rPr>
      </w:pPr>
      <w:r w:rsidRPr="007C50D0">
        <w:rPr>
          <w:sz w:val="28"/>
          <w:szCs w:val="28"/>
        </w:rPr>
        <w:t>Суммируя ежегодные данные о длительных сроках рассмотрения дел, приведенные в Таблицах 4, 5 и 5.1, можно сделать вывод о сохраняющейся тенденции их увеличения в уголовном судопроизводстве. В абсолютном исчислении количество таких дел за пять лет выросло в 1,7 раза по сравнению с 2013 годом и на 11,3% по отношению к прошлому году.</w:t>
      </w:r>
    </w:p>
    <w:p w:rsidR="007C50D0" w:rsidRPr="007C50D0" w:rsidRDefault="007C50D0" w:rsidP="008619A6">
      <w:pPr>
        <w:ind w:firstLine="567"/>
        <w:contextualSpacing/>
        <w:jc w:val="both"/>
        <w:rPr>
          <w:sz w:val="28"/>
          <w:szCs w:val="28"/>
        </w:rPr>
      </w:pPr>
      <w:r w:rsidRPr="007C50D0">
        <w:rPr>
          <w:sz w:val="28"/>
          <w:szCs w:val="28"/>
        </w:rPr>
        <w:t>В гражданском производстве, напротив, намечается тенденция уменьшения количества дел с длительным сроком рассмотрения. По сравнению с 2013 годом, количество таких дел уменьшилось на 11,1%. При этом следует иметь в виду значительное – на 28,5% –  уменьшение общего количества рассмотренных гражданских дел относительно 2013 года.</w:t>
      </w:r>
    </w:p>
    <w:p w:rsidR="007C50D0" w:rsidRPr="007C50D0" w:rsidRDefault="007C50D0" w:rsidP="008619A6">
      <w:pPr>
        <w:ind w:firstLine="567"/>
        <w:contextualSpacing/>
        <w:jc w:val="both"/>
        <w:rPr>
          <w:sz w:val="28"/>
          <w:szCs w:val="28"/>
        </w:rPr>
      </w:pPr>
      <w:r w:rsidRPr="007C50D0">
        <w:rPr>
          <w:sz w:val="28"/>
          <w:szCs w:val="28"/>
        </w:rPr>
        <w:t xml:space="preserve">Общее количество административных </w:t>
      </w:r>
      <w:proofErr w:type="gramStart"/>
      <w:r w:rsidRPr="007C50D0">
        <w:rPr>
          <w:sz w:val="28"/>
          <w:szCs w:val="28"/>
        </w:rPr>
        <w:t>дел</w:t>
      </w:r>
      <w:proofErr w:type="gramEnd"/>
      <w:r w:rsidRPr="007C50D0">
        <w:rPr>
          <w:sz w:val="28"/>
          <w:szCs w:val="28"/>
        </w:rPr>
        <w:t xml:space="preserve"> со сроком рассмотрения свыше установленного до одного года (2320 дел) осталось на уровне прошлого года (2316 дел). В частности, 2162 дела рассмотрено в срок свыше установленного КАС РФ до 3-х месяцев (включая срок на приостановление производства), что составляет 20,3% от общего количества административных дел, и 158 дел (или 1,5%) рассматривались более трех месяцев до одного года.</w:t>
      </w:r>
    </w:p>
    <w:p w:rsidR="007C50D0" w:rsidRPr="007C50D0" w:rsidRDefault="007C50D0" w:rsidP="008619A6">
      <w:pPr>
        <w:ind w:firstLine="567"/>
        <w:contextualSpacing/>
        <w:jc w:val="both"/>
        <w:rPr>
          <w:sz w:val="28"/>
          <w:szCs w:val="28"/>
        </w:rPr>
      </w:pPr>
      <w:r w:rsidRPr="007C50D0">
        <w:rPr>
          <w:sz w:val="28"/>
          <w:szCs w:val="28"/>
        </w:rPr>
        <w:t xml:space="preserve">Динамика изменения  абсолютных и относительных значений данного показателя представлена в Таблице </w:t>
      </w:r>
      <w:r w:rsidR="00126E2E">
        <w:rPr>
          <w:sz w:val="28"/>
          <w:szCs w:val="28"/>
        </w:rPr>
        <w:t>1</w:t>
      </w:r>
      <w:r w:rsidRPr="007C50D0">
        <w:rPr>
          <w:sz w:val="28"/>
          <w:szCs w:val="28"/>
        </w:rPr>
        <w:t>5.2.</w:t>
      </w:r>
    </w:p>
    <w:p w:rsidR="007C50D0" w:rsidRPr="007C50D0" w:rsidRDefault="007C50D0" w:rsidP="008619A6">
      <w:pPr>
        <w:ind w:firstLine="567"/>
        <w:contextualSpacing/>
        <w:jc w:val="both"/>
        <w:rPr>
          <w:sz w:val="28"/>
          <w:szCs w:val="28"/>
        </w:rPr>
      </w:pPr>
      <w:r w:rsidRPr="007C50D0">
        <w:rPr>
          <w:sz w:val="28"/>
          <w:szCs w:val="28"/>
        </w:rPr>
        <w:lastRenderedPageBreak/>
        <w:t xml:space="preserve"> </w:t>
      </w:r>
      <w:r w:rsidRPr="007C50D0">
        <w:rPr>
          <w:sz w:val="24"/>
          <w:szCs w:val="24"/>
        </w:rPr>
        <w:t xml:space="preserve">                                                                                                             Таблица </w:t>
      </w:r>
      <w:r w:rsidR="00C02904">
        <w:rPr>
          <w:sz w:val="24"/>
          <w:szCs w:val="24"/>
        </w:rPr>
        <w:t>1</w:t>
      </w:r>
      <w:r w:rsidRPr="007C50D0">
        <w:rPr>
          <w:sz w:val="24"/>
          <w:szCs w:val="24"/>
        </w:rPr>
        <w:t>5.2</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2640"/>
        <w:gridCol w:w="1320"/>
        <w:gridCol w:w="1320"/>
        <w:gridCol w:w="1320"/>
        <w:gridCol w:w="1440"/>
        <w:gridCol w:w="11"/>
        <w:gridCol w:w="1163"/>
      </w:tblGrid>
      <w:tr w:rsidR="007C50D0" w:rsidRPr="007C50D0" w:rsidTr="00126E2E">
        <w:trPr>
          <w:trHeight w:val="197"/>
        </w:trPr>
        <w:tc>
          <w:tcPr>
            <w:tcW w:w="9214" w:type="dxa"/>
            <w:gridSpan w:val="7"/>
            <w:tcBorders>
              <w:top w:val="double" w:sz="4" w:space="0" w:color="auto"/>
              <w:bottom w:val="sing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Количество дел с увеличенным сроком рассмотрения</w:t>
            </w:r>
          </w:p>
        </w:tc>
      </w:tr>
      <w:tr w:rsidR="007C50D0" w:rsidRPr="007C50D0" w:rsidTr="00126E2E">
        <w:trPr>
          <w:trHeight w:val="179"/>
        </w:trPr>
        <w:tc>
          <w:tcPr>
            <w:tcW w:w="2640" w:type="dxa"/>
            <w:tcBorders>
              <w:top w:val="single" w:sz="4" w:space="0" w:color="auto"/>
              <w:bottom w:val="thickThinLargeGap" w:sz="24" w:space="0" w:color="auto"/>
            </w:tcBorders>
            <w:shd w:val="clear" w:color="auto" w:fill="auto"/>
          </w:tcPr>
          <w:p w:rsidR="007C50D0" w:rsidRPr="007C50D0" w:rsidRDefault="007C50D0" w:rsidP="008619A6">
            <w:pPr>
              <w:contextualSpacing/>
              <w:jc w:val="center"/>
              <w:rPr>
                <w:b/>
                <w:sz w:val="22"/>
                <w:szCs w:val="22"/>
              </w:rPr>
            </w:pPr>
            <w:r w:rsidRPr="007C50D0">
              <w:rPr>
                <w:b/>
                <w:sz w:val="22"/>
                <w:szCs w:val="22"/>
              </w:rPr>
              <w:t>Судопроизводство</w:t>
            </w:r>
          </w:p>
        </w:tc>
        <w:tc>
          <w:tcPr>
            <w:tcW w:w="1320" w:type="dxa"/>
            <w:tcBorders>
              <w:top w:val="single" w:sz="4" w:space="0" w:color="auto"/>
              <w:bottom w:val="thickThinLargeGap" w:sz="24" w:space="0" w:color="auto"/>
              <w:right w:val="sing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2013</w:t>
            </w:r>
          </w:p>
        </w:tc>
        <w:tc>
          <w:tcPr>
            <w:tcW w:w="1320" w:type="dxa"/>
            <w:tcBorders>
              <w:top w:val="single" w:sz="4" w:space="0" w:color="auto"/>
              <w:left w:val="single" w:sz="4" w:space="0" w:color="auto"/>
              <w:bottom w:val="thickThinLargeGap" w:sz="24" w:space="0" w:color="auto"/>
              <w:right w:val="sing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2014</w:t>
            </w:r>
          </w:p>
        </w:tc>
        <w:tc>
          <w:tcPr>
            <w:tcW w:w="1320" w:type="dxa"/>
            <w:tcBorders>
              <w:top w:val="single" w:sz="4" w:space="0" w:color="auto"/>
              <w:left w:val="single" w:sz="4" w:space="0" w:color="auto"/>
              <w:bottom w:val="thickThinLargeGap" w:sz="24" w:space="0" w:color="auto"/>
              <w:right w:val="sing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2015</w:t>
            </w:r>
          </w:p>
        </w:tc>
        <w:tc>
          <w:tcPr>
            <w:tcW w:w="1451" w:type="dxa"/>
            <w:gridSpan w:val="2"/>
            <w:tcBorders>
              <w:top w:val="single" w:sz="4" w:space="0" w:color="auto"/>
              <w:left w:val="single" w:sz="4" w:space="0" w:color="auto"/>
              <w:bottom w:val="thickThinLargeGap" w:sz="24" w:space="0" w:color="auto"/>
              <w:right w:val="sing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2016</w:t>
            </w:r>
          </w:p>
        </w:tc>
        <w:tc>
          <w:tcPr>
            <w:tcW w:w="1163" w:type="dxa"/>
            <w:tcBorders>
              <w:top w:val="single" w:sz="4" w:space="0" w:color="auto"/>
              <w:left w:val="single" w:sz="4" w:space="0" w:color="auto"/>
              <w:bottom w:val="thickThinLargeGap" w:sz="2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126E2E">
        <w:trPr>
          <w:trHeight w:val="88"/>
        </w:trPr>
        <w:tc>
          <w:tcPr>
            <w:tcW w:w="2640" w:type="dxa"/>
            <w:tcBorders>
              <w:top w:val="thickThinLargeGap" w:sz="24" w:space="0" w:color="auto"/>
            </w:tcBorders>
            <w:vAlign w:val="center"/>
          </w:tcPr>
          <w:p w:rsidR="007C50D0" w:rsidRPr="007C50D0" w:rsidRDefault="007C50D0" w:rsidP="008619A6">
            <w:pPr>
              <w:ind w:left="-479" w:firstLine="479"/>
              <w:contextualSpacing/>
              <w:jc w:val="center"/>
              <w:rPr>
                <w:b/>
                <w:sz w:val="24"/>
                <w:szCs w:val="24"/>
              </w:rPr>
            </w:pPr>
            <w:r w:rsidRPr="007C50D0">
              <w:rPr>
                <w:b/>
                <w:sz w:val="24"/>
                <w:szCs w:val="24"/>
              </w:rPr>
              <w:t>Уголовное</w:t>
            </w:r>
          </w:p>
        </w:tc>
        <w:tc>
          <w:tcPr>
            <w:tcW w:w="1320" w:type="dxa"/>
            <w:tcBorders>
              <w:top w:val="thickThinLargeGap" w:sz="24" w:space="0" w:color="auto"/>
              <w:right w:val="single" w:sz="4" w:space="0" w:color="auto"/>
            </w:tcBorders>
            <w:vAlign w:val="center"/>
          </w:tcPr>
          <w:p w:rsidR="007C50D0" w:rsidRPr="007C50D0" w:rsidRDefault="007C50D0" w:rsidP="008619A6">
            <w:pPr>
              <w:contextualSpacing/>
              <w:jc w:val="center"/>
              <w:rPr>
                <w:i/>
                <w:sz w:val="24"/>
                <w:szCs w:val="24"/>
              </w:rPr>
            </w:pPr>
            <w:r w:rsidRPr="007C50D0">
              <w:rPr>
                <w:sz w:val="24"/>
                <w:szCs w:val="24"/>
              </w:rPr>
              <w:t>1736</w:t>
            </w:r>
            <w:r w:rsidRPr="007C50D0">
              <w:rPr>
                <w:i/>
                <w:sz w:val="24"/>
                <w:szCs w:val="24"/>
              </w:rPr>
              <w:t>/</w:t>
            </w:r>
            <w:r w:rsidRPr="007C50D0">
              <w:rPr>
                <w:b/>
                <w:i/>
                <w:sz w:val="22"/>
                <w:szCs w:val="22"/>
              </w:rPr>
              <w:t>15,9</w:t>
            </w:r>
          </w:p>
        </w:tc>
        <w:tc>
          <w:tcPr>
            <w:tcW w:w="1320"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4"/>
                <w:szCs w:val="24"/>
              </w:rPr>
            </w:pPr>
            <w:r w:rsidRPr="007C50D0">
              <w:rPr>
                <w:sz w:val="24"/>
                <w:szCs w:val="24"/>
              </w:rPr>
              <w:t>1907</w:t>
            </w:r>
            <w:r w:rsidRPr="007C50D0">
              <w:rPr>
                <w:i/>
                <w:sz w:val="24"/>
                <w:szCs w:val="24"/>
              </w:rPr>
              <w:t>/</w:t>
            </w:r>
            <w:r w:rsidRPr="007C50D0">
              <w:rPr>
                <w:b/>
                <w:i/>
                <w:sz w:val="22"/>
                <w:szCs w:val="22"/>
              </w:rPr>
              <w:t>18,9</w:t>
            </w:r>
          </w:p>
        </w:tc>
        <w:tc>
          <w:tcPr>
            <w:tcW w:w="1320"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4"/>
                <w:szCs w:val="24"/>
              </w:rPr>
            </w:pPr>
            <w:r w:rsidRPr="007C50D0">
              <w:rPr>
                <w:sz w:val="24"/>
                <w:szCs w:val="24"/>
              </w:rPr>
              <w:t>2123</w:t>
            </w:r>
            <w:r w:rsidRPr="007C50D0">
              <w:rPr>
                <w:i/>
                <w:sz w:val="24"/>
                <w:szCs w:val="24"/>
              </w:rPr>
              <w:t>/</w:t>
            </w:r>
            <w:r w:rsidRPr="007C50D0">
              <w:rPr>
                <w:b/>
                <w:i/>
                <w:sz w:val="22"/>
                <w:szCs w:val="22"/>
              </w:rPr>
              <w:t>20,2</w:t>
            </w:r>
          </w:p>
        </w:tc>
        <w:tc>
          <w:tcPr>
            <w:tcW w:w="1440"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4"/>
                <w:szCs w:val="24"/>
              </w:rPr>
            </w:pPr>
            <w:r w:rsidRPr="007C50D0">
              <w:rPr>
                <w:sz w:val="24"/>
                <w:szCs w:val="24"/>
              </w:rPr>
              <w:t>2587</w:t>
            </w:r>
            <w:r w:rsidRPr="007C50D0">
              <w:rPr>
                <w:i/>
                <w:sz w:val="24"/>
                <w:szCs w:val="24"/>
              </w:rPr>
              <w:t>/</w:t>
            </w:r>
            <w:r w:rsidRPr="007C50D0">
              <w:rPr>
                <w:b/>
                <w:i/>
                <w:sz w:val="22"/>
                <w:szCs w:val="22"/>
              </w:rPr>
              <w:t>24,4</w:t>
            </w:r>
          </w:p>
        </w:tc>
        <w:tc>
          <w:tcPr>
            <w:tcW w:w="1174" w:type="dxa"/>
            <w:gridSpan w:val="2"/>
            <w:tcBorders>
              <w:top w:val="thickThinLargeGap" w:sz="24" w:space="0" w:color="auto"/>
              <w:left w:val="single" w:sz="4" w:space="0" w:color="auto"/>
            </w:tcBorders>
            <w:vAlign w:val="center"/>
          </w:tcPr>
          <w:p w:rsidR="007C50D0" w:rsidRPr="007C50D0" w:rsidRDefault="007C50D0" w:rsidP="008619A6">
            <w:pPr>
              <w:contextualSpacing/>
              <w:jc w:val="center"/>
              <w:rPr>
                <w:i/>
                <w:sz w:val="24"/>
                <w:szCs w:val="24"/>
              </w:rPr>
            </w:pPr>
            <w:r w:rsidRPr="007C50D0">
              <w:rPr>
                <w:sz w:val="24"/>
                <w:szCs w:val="24"/>
              </w:rPr>
              <w:t>2880</w:t>
            </w:r>
            <w:r w:rsidRPr="007C50D0">
              <w:rPr>
                <w:i/>
                <w:sz w:val="24"/>
                <w:szCs w:val="24"/>
              </w:rPr>
              <w:t>/</w:t>
            </w:r>
            <w:r w:rsidRPr="007C50D0">
              <w:rPr>
                <w:b/>
                <w:i/>
                <w:sz w:val="22"/>
                <w:szCs w:val="22"/>
              </w:rPr>
              <w:t>25,9</w:t>
            </w:r>
          </w:p>
        </w:tc>
      </w:tr>
      <w:tr w:rsidR="007C50D0" w:rsidRPr="007C50D0" w:rsidTr="00126E2E">
        <w:trPr>
          <w:trHeight w:val="66"/>
        </w:trPr>
        <w:tc>
          <w:tcPr>
            <w:tcW w:w="2640" w:type="dxa"/>
            <w:vAlign w:val="center"/>
          </w:tcPr>
          <w:p w:rsidR="007C50D0" w:rsidRPr="007C50D0" w:rsidRDefault="007C50D0" w:rsidP="008619A6">
            <w:pPr>
              <w:contextualSpacing/>
              <w:jc w:val="center"/>
              <w:rPr>
                <w:b/>
                <w:sz w:val="24"/>
                <w:szCs w:val="24"/>
              </w:rPr>
            </w:pPr>
            <w:r w:rsidRPr="007C50D0">
              <w:rPr>
                <w:b/>
                <w:sz w:val="24"/>
                <w:szCs w:val="24"/>
              </w:rPr>
              <w:t>Гражданское</w:t>
            </w:r>
          </w:p>
        </w:tc>
        <w:tc>
          <w:tcPr>
            <w:tcW w:w="1320" w:type="dxa"/>
            <w:tcBorders>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23680</w:t>
            </w:r>
            <w:r w:rsidRPr="007C50D0">
              <w:rPr>
                <w:i/>
                <w:sz w:val="24"/>
                <w:szCs w:val="24"/>
              </w:rPr>
              <w:t>/</w:t>
            </w:r>
            <w:r w:rsidRPr="007C50D0">
              <w:rPr>
                <w:b/>
                <w:i/>
                <w:sz w:val="22"/>
                <w:szCs w:val="22"/>
              </w:rPr>
              <w:t>18,4</w:t>
            </w:r>
          </w:p>
        </w:tc>
        <w:tc>
          <w:tcPr>
            <w:tcW w:w="132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25577/</w:t>
            </w:r>
            <w:r w:rsidRPr="007C50D0">
              <w:rPr>
                <w:b/>
                <w:i/>
                <w:sz w:val="22"/>
                <w:szCs w:val="22"/>
              </w:rPr>
              <w:t>18,7</w:t>
            </w:r>
          </w:p>
        </w:tc>
        <w:tc>
          <w:tcPr>
            <w:tcW w:w="132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27471/</w:t>
            </w:r>
            <w:r w:rsidRPr="007C50D0">
              <w:rPr>
                <w:b/>
                <w:i/>
                <w:sz w:val="22"/>
                <w:szCs w:val="22"/>
              </w:rPr>
              <w:t>19,3</w:t>
            </w:r>
          </w:p>
        </w:tc>
        <w:tc>
          <w:tcPr>
            <w:tcW w:w="144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22496/</w:t>
            </w:r>
            <w:r w:rsidRPr="007C50D0">
              <w:rPr>
                <w:b/>
                <w:i/>
                <w:sz w:val="22"/>
                <w:szCs w:val="22"/>
              </w:rPr>
              <w:t>20,0</w:t>
            </w:r>
          </w:p>
        </w:tc>
        <w:tc>
          <w:tcPr>
            <w:tcW w:w="1174" w:type="dxa"/>
            <w:gridSpan w:val="2"/>
            <w:tcBorders>
              <w:left w:val="single" w:sz="4" w:space="0" w:color="auto"/>
            </w:tcBorders>
            <w:vAlign w:val="center"/>
          </w:tcPr>
          <w:p w:rsidR="007C50D0" w:rsidRPr="007C50D0" w:rsidRDefault="007C50D0" w:rsidP="008619A6">
            <w:pPr>
              <w:contextualSpacing/>
              <w:jc w:val="center"/>
              <w:rPr>
                <w:sz w:val="24"/>
                <w:szCs w:val="24"/>
              </w:rPr>
            </w:pPr>
            <w:r w:rsidRPr="007C50D0">
              <w:rPr>
                <w:sz w:val="24"/>
                <w:szCs w:val="24"/>
              </w:rPr>
              <w:t>21054/</w:t>
            </w:r>
            <w:r w:rsidRPr="007C50D0">
              <w:rPr>
                <w:b/>
                <w:i/>
                <w:sz w:val="22"/>
                <w:szCs w:val="22"/>
              </w:rPr>
              <w:t>22</w:t>
            </w:r>
            <w:r w:rsidRPr="007C50D0">
              <w:rPr>
                <w:sz w:val="24"/>
                <w:szCs w:val="24"/>
              </w:rPr>
              <w:t>,8</w:t>
            </w:r>
          </w:p>
        </w:tc>
      </w:tr>
      <w:tr w:rsidR="007C50D0" w:rsidRPr="007C50D0" w:rsidTr="00126E2E">
        <w:trPr>
          <w:trHeight w:val="66"/>
        </w:trPr>
        <w:tc>
          <w:tcPr>
            <w:tcW w:w="2640" w:type="dxa"/>
            <w:vAlign w:val="center"/>
          </w:tcPr>
          <w:p w:rsidR="007C50D0" w:rsidRPr="007C50D0" w:rsidRDefault="007C50D0" w:rsidP="008619A6">
            <w:pPr>
              <w:contextualSpacing/>
              <w:jc w:val="center"/>
              <w:rPr>
                <w:b/>
                <w:sz w:val="24"/>
                <w:szCs w:val="24"/>
              </w:rPr>
            </w:pPr>
            <w:r w:rsidRPr="007C50D0">
              <w:rPr>
                <w:b/>
                <w:sz w:val="24"/>
                <w:szCs w:val="24"/>
              </w:rPr>
              <w:t>Административное</w:t>
            </w:r>
          </w:p>
        </w:tc>
        <w:tc>
          <w:tcPr>
            <w:tcW w:w="1320" w:type="dxa"/>
            <w:tcBorders>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0</w:t>
            </w:r>
            <w:r w:rsidRPr="007C50D0">
              <w:rPr>
                <w:i/>
                <w:sz w:val="24"/>
                <w:szCs w:val="24"/>
              </w:rPr>
              <w:t>/</w:t>
            </w:r>
            <w:r w:rsidRPr="007C50D0">
              <w:rPr>
                <w:b/>
                <w:i/>
                <w:sz w:val="22"/>
                <w:szCs w:val="22"/>
              </w:rPr>
              <w:t>0,0</w:t>
            </w:r>
          </w:p>
        </w:tc>
        <w:tc>
          <w:tcPr>
            <w:tcW w:w="1320"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0</w:t>
            </w:r>
            <w:r w:rsidRPr="007C50D0">
              <w:rPr>
                <w:i/>
                <w:sz w:val="24"/>
                <w:szCs w:val="24"/>
              </w:rPr>
              <w:t>/</w:t>
            </w:r>
            <w:r w:rsidRPr="007C50D0">
              <w:rPr>
                <w:b/>
                <w:i/>
                <w:sz w:val="22"/>
                <w:szCs w:val="22"/>
              </w:rPr>
              <w:t>0,0</w:t>
            </w:r>
          </w:p>
        </w:tc>
        <w:tc>
          <w:tcPr>
            <w:tcW w:w="1320"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0</w:t>
            </w:r>
            <w:r w:rsidRPr="007C50D0">
              <w:rPr>
                <w:i/>
                <w:sz w:val="24"/>
                <w:szCs w:val="24"/>
              </w:rPr>
              <w:t>/</w:t>
            </w:r>
            <w:r w:rsidRPr="007C50D0">
              <w:rPr>
                <w:b/>
                <w:i/>
                <w:sz w:val="22"/>
                <w:szCs w:val="22"/>
              </w:rPr>
              <w:t>0,0</w:t>
            </w:r>
          </w:p>
        </w:tc>
        <w:tc>
          <w:tcPr>
            <w:tcW w:w="1440"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2316/</w:t>
            </w:r>
            <w:r w:rsidRPr="007C50D0">
              <w:rPr>
                <w:b/>
                <w:i/>
                <w:sz w:val="22"/>
                <w:szCs w:val="22"/>
              </w:rPr>
              <w:t>8,6</w:t>
            </w:r>
          </w:p>
        </w:tc>
        <w:tc>
          <w:tcPr>
            <w:tcW w:w="1174" w:type="dxa"/>
            <w:gridSpan w:val="2"/>
            <w:tcBorders>
              <w:left w:val="single" w:sz="4" w:space="0" w:color="auto"/>
            </w:tcBorders>
            <w:vAlign w:val="center"/>
          </w:tcPr>
          <w:p w:rsidR="007C50D0" w:rsidRPr="007C50D0" w:rsidRDefault="007C50D0" w:rsidP="008619A6">
            <w:pPr>
              <w:contextualSpacing/>
              <w:jc w:val="center"/>
              <w:rPr>
                <w:sz w:val="24"/>
                <w:szCs w:val="24"/>
              </w:rPr>
            </w:pPr>
            <w:r w:rsidRPr="007C50D0">
              <w:rPr>
                <w:sz w:val="24"/>
                <w:szCs w:val="24"/>
              </w:rPr>
              <w:t>2320/</w:t>
            </w:r>
            <w:r w:rsidRPr="007C50D0">
              <w:rPr>
                <w:b/>
                <w:i/>
                <w:sz w:val="22"/>
                <w:szCs w:val="22"/>
              </w:rPr>
              <w:t>21,8</w:t>
            </w:r>
          </w:p>
        </w:tc>
      </w:tr>
    </w:tbl>
    <w:p w:rsidR="00126E2E" w:rsidRDefault="00126E2E" w:rsidP="008619A6">
      <w:pPr>
        <w:ind w:firstLine="840"/>
        <w:contextualSpacing/>
        <w:jc w:val="both"/>
        <w:rPr>
          <w:sz w:val="28"/>
          <w:szCs w:val="28"/>
        </w:rPr>
      </w:pPr>
    </w:p>
    <w:p w:rsidR="007C50D0" w:rsidRPr="007C50D0" w:rsidRDefault="007C50D0" w:rsidP="008619A6">
      <w:pPr>
        <w:ind w:firstLine="840"/>
        <w:contextualSpacing/>
        <w:jc w:val="both"/>
        <w:rPr>
          <w:sz w:val="28"/>
          <w:szCs w:val="28"/>
        </w:rPr>
      </w:pPr>
      <w:r w:rsidRPr="007C50D0">
        <w:rPr>
          <w:sz w:val="28"/>
          <w:szCs w:val="28"/>
        </w:rPr>
        <w:t xml:space="preserve">Относительные же значения данного показателя демонстрируют устойчивое повышение на протяжении пятилетнего интервала наблюдения. </w:t>
      </w:r>
    </w:p>
    <w:p w:rsidR="007C50D0" w:rsidRPr="007C50D0" w:rsidRDefault="007C50D0" w:rsidP="008619A6">
      <w:pPr>
        <w:ind w:firstLine="840"/>
        <w:contextualSpacing/>
        <w:jc w:val="both"/>
        <w:rPr>
          <w:sz w:val="28"/>
          <w:szCs w:val="28"/>
        </w:rPr>
      </w:pPr>
      <w:r w:rsidRPr="007C50D0">
        <w:rPr>
          <w:sz w:val="28"/>
          <w:szCs w:val="28"/>
        </w:rPr>
        <w:t xml:space="preserve">В частности, если в 2013 году доля уголовных дел, срок рассмотрения которых (вместе со сроком на приостановление) превысил установленные УПК РФ пределы, составляла 15,9% от общего количества рассмотренных дел, то в 2017 году наблюдается увеличение данного показателя в 1,6 раза. По сравнению же с прошлым годом удельный вес таких </w:t>
      </w:r>
      <w:proofErr w:type="gramStart"/>
      <w:r w:rsidRPr="007C50D0">
        <w:rPr>
          <w:sz w:val="28"/>
          <w:szCs w:val="28"/>
        </w:rPr>
        <w:t>дел</w:t>
      </w:r>
      <w:proofErr w:type="gramEnd"/>
      <w:r w:rsidRPr="007C50D0">
        <w:rPr>
          <w:sz w:val="28"/>
          <w:szCs w:val="28"/>
        </w:rPr>
        <w:t xml:space="preserve"> в общем количестве рассмотренных увеличился на 1,5%.</w:t>
      </w:r>
    </w:p>
    <w:p w:rsidR="007C50D0" w:rsidRPr="007C50D0" w:rsidRDefault="007C50D0" w:rsidP="008619A6">
      <w:pPr>
        <w:ind w:firstLine="851"/>
        <w:contextualSpacing/>
        <w:jc w:val="both"/>
        <w:rPr>
          <w:sz w:val="28"/>
          <w:szCs w:val="28"/>
        </w:rPr>
      </w:pPr>
      <w:r w:rsidRPr="007C50D0">
        <w:rPr>
          <w:sz w:val="28"/>
          <w:szCs w:val="28"/>
        </w:rPr>
        <w:t xml:space="preserve">В гражданском судопроизводстве относительное значение аналогичного показателя («Удельный вес дел, срок рассмотрения которых колеблется от полутора месяцев до года и более») также увеличилось, как по сравнению с прошлым годом (на 2,8%), так и за пятилетний период (на 4,4%). </w:t>
      </w:r>
    </w:p>
    <w:p w:rsidR="007C50D0" w:rsidRPr="007C50D0" w:rsidRDefault="007C50D0" w:rsidP="008619A6">
      <w:pPr>
        <w:ind w:firstLine="851"/>
        <w:contextualSpacing/>
        <w:jc w:val="both"/>
        <w:rPr>
          <w:sz w:val="28"/>
          <w:szCs w:val="28"/>
        </w:rPr>
      </w:pPr>
      <w:r w:rsidRPr="007C50D0">
        <w:rPr>
          <w:sz w:val="28"/>
          <w:szCs w:val="28"/>
        </w:rPr>
        <w:t xml:space="preserve">Удельный вес административных дел с длительным сроком рассмотрения по сравнению с прошлым годом увеличился в 2,5 раза. </w:t>
      </w:r>
    </w:p>
    <w:p w:rsidR="007C50D0" w:rsidRDefault="007C50D0" w:rsidP="008619A6">
      <w:pPr>
        <w:ind w:firstLine="851"/>
        <w:contextualSpacing/>
        <w:jc w:val="both"/>
        <w:rPr>
          <w:sz w:val="28"/>
          <w:szCs w:val="28"/>
        </w:rPr>
      </w:pPr>
      <w:r w:rsidRPr="007C50D0">
        <w:rPr>
          <w:sz w:val="28"/>
          <w:szCs w:val="28"/>
        </w:rPr>
        <w:t xml:space="preserve">Тенденции изменения относительных значений показателя об общих сроках рассмотрения дел наглядно представлены на Диаграмме </w:t>
      </w:r>
      <w:r w:rsidR="00126E2E">
        <w:rPr>
          <w:sz w:val="28"/>
          <w:szCs w:val="28"/>
        </w:rPr>
        <w:t>13</w:t>
      </w:r>
      <w:r w:rsidRPr="007C50D0">
        <w:rPr>
          <w:sz w:val="28"/>
          <w:szCs w:val="28"/>
        </w:rPr>
        <w:t xml:space="preserve">. </w:t>
      </w:r>
    </w:p>
    <w:p w:rsidR="007C50D0" w:rsidRPr="007C50D0" w:rsidRDefault="007C50D0" w:rsidP="008619A6">
      <w:pPr>
        <w:ind w:firstLine="567"/>
        <w:contextualSpacing/>
        <w:jc w:val="both"/>
        <w:rPr>
          <w:sz w:val="24"/>
          <w:szCs w:val="24"/>
        </w:rPr>
      </w:pPr>
      <w:r w:rsidRPr="007C50D0">
        <w:rPr>
          <w:sz w:val="24"/>
          <w:szCs w:val="24"/>
        </w:rPr>
        <w:t xml:space="preserve">                                                                                                            Диаграмма</w:t>
      </w:r>
      <w:r w:rsidR="00C02904">
        <w:rPr>
          <w:sz w:val="24"/>
          <w:szCs w:val="24"/>
        </w:rPr>
        <w:t>13</w:t>
      </w:r>
    </w:p>
    <w:p w:rsidR="007C50D0" w:rsidRPr="007C50D0" w:rsidRDefault="007C50D0" w:rsidP="008619A6">
      <w:pPr>
        <w:ind w:left="993"/>
        <w:contextualSpacing/>
        <w:jc w:val="both"/>
        <w:rPr>
          <w:color w:val="0000FF"/>
          <w:sz w:val="24"/>
          <w:szCs w:val="24"/>
        </w:rPr>
      </w:pPr>
      <w:r>
        <w:rPr>
          <w:noProof/>
          <w:color w:val="0000FF"/>
          <w:sz w:val="24"/>
          <w:szCs w:val="24"/>
        </w:rPr>
        <w:drawing>
          <wp:inline distT="0" distB="0" distL="0" distR="0" wp14:anchorId="1E22C106" wp14:editId="3653B59C">
            <wp:extent cx="4519930" cy="243776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9930" cy="2437765"/>
                    </a:xfrm>
                    <a:prstGeom prst="rect">
                      <a:avLst/>
                    </a:prstGeom>
                    <a:noFill/>
                  </pic:spPr>
                </pic:pic>
              </a:graphicData>
            </a:graphic>
          </wp:inline>
        </w:drawing>
      </w:r>
    </w:p>
    <w:p w:rsidR="007C50D0" w:rsidRDefault="007C50D0" w:rsidP="008619A6">
      <w:pPr>
        <w:ind w:firstLine="993"/>
        <w:contextualSpacing/>
        <w:jc w:val="both"/>
        <w:rPr>
          <w:sz w:val="28"/>
          <w:szCs w:val="28"/>
        </w:rPr>
      </w:pPr>
      <w:r w:rsidRPr="007C50D0">
        <w:rPr>
          <w:sz w:val="28"/>
          <w:szCs w:val="28"/>
        </w:rPr>
        <w:t xml:space="preserve">Регламентные отчеты, представленные судами, содержат также информацию о количестве заявлений, поступивших в суды от участников процесса об ускорении судебного производства. Таблица </w:t>
      </w:r>
      <w:r w:rsidR="00126E2E">
        <w:rPr>
          <w:sz w:val="28"/>
          <w:szCs w:val="28"/>
        </w:rPr>
        <w:t>1</w:t>
      </w:r>
      <w:r w:rsidRPr="007C50D0">
        <w:rPr>
          <w:sz w:val="28"/>
          <w:szCs w:val="28"/>
        </w:rPr>
        <w:t>5.3 демонстрирует динамику изменения данного показателя.</w:t>
      </w:r>
    </w:p>
    <w:p w:rsidR="00126E2E" w:rsidRPr="007C50D0" w:rsidRDefault="00126E2E" w:rsidP="00126E2E">
      <w:pPr>
        <w:ind w:firstLine="993"/>
        <w:contextualSpacing/>
        <w:jc w:val="both"/>
        <w:rPr>
          <w:sz w:val="28"/>
          <w:szCs w:val="28"/>
        </w:rPr>
      </w:pPr>
      <w:r w:rsidRPr="007C50D0">
        <w:rPr>
          <w:sz w:val="28"/>
          <w:szCs w:val="28"/>
        </w:rPr>
        <w:t xml:space="preserve">В 2017 году в судах зарегистрировано 7 заявлений, связанных с ускорением рассмотрения уголовных дел, что составляет 18,4% от числа дел, рассмотрение которых затянулось на срок более 12 месяцев. </w:t>
      </w:r>
    </w:p>
    <w:p w:rsidR="007C50D0" w:rsidRPr="007C50D0" w:rsidRDefault="007C50D0" w:rsidP="008619A6">
      <w:pPr>
        <w:ind w:firstLine="567"/>
        <w:contextualSpacing/>
        <w:jc w:val="both"/>
        <w:rPr>
          <w:sz w:val="28"/>
          <w:szCs w:val="28"/>
        </w:rPr>
      </w:pPr>
      <w:r w:rsidRPr="007C50D0">
        <w:rPr>
          <w:sz w:val="28"/>
          <w:szCs w:val="28"/>
        </w:rPr>
        <w:lastRenderedPageBreak/>
        <w:t xml:space="preserve"> </w:t>
      </w:r>
      <w:r w:rsidRPr="007C50D0">
        <w:rPr>
          <w:sz w:val="24"/>
          <w:szCs w:val="24"/>
        </w:rPr>
        <w:t xml:space="preserve">                                                                                                             Таблица </w:t>
      </w:r>
      <w:r w:rsidR="00C02904">
        <w:rPr>
          <w:sz w:val="24"/>
          <w:szCs w:val="24"/>
        </w:rPr>
        <w:t>1</w:t>
      </w:r>
      <w:r w:rsidRPr="007C50D0">
        <w:rPr>
          <w:sz w:val="24"/>
          <w:szCs w:val="24"/>
        </w:rPr>
        <w:t>5.3</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2640"/>
        <w:gridCol w:w="1320"/>
        <w:gridCol w:w="1320"/>
        <w:gridCol w:w="1320"/>
        <w:gridCol w:w="1440"/>
        <w:gridCol w:w="11"/>
        <w:gridCol w:w="1163"/>
      </w:tblGrid>
      <w:tr w:rsidR="007C50D0" w:rsidRPr="007C50D0" w:rsidTr="00126E2E">
        <w:trPr>
          <w:trHeight w:val="113"/>
        </w:trPr>
        <w:tc>
          <w:tcPr>
            <w:tcW w:w="9214" w:type="dxa"/>
            <w:gridSpan w:val="7"/>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Количество заявлений об ускорении производства,</w:t>
            </w:r>
          </w:p>
          <w:p w:rsidR="007C50D0" w:rsidRPr="007C50D0" w:rsidRDefault="007C50D0" w:rsidP="008619A6">
            <w:pPr>
              <w:contextualSpacing/>
              <w:jc w:val="center"/>
              <w:rPr>
                <w:b/>
                <w:sz w:val="24"/>
                <w:szCs w:val="24"/>
              </w:rPr>
            </w:pPr>
            <w:r w:rsidRPr="007C50D0">
              <w:rPr>
                <w:b/>
                <w:sz w:val="24"/>
                <w:szCs w:val="24"/>
              </w:rPr>
              <w:t xml:space="preserve">поданных в суды в 2013 – 2017 </w:t>
            </w:r>
            <w:proofErr w:type="spellStart"/>
            <w:proofErr w:type="gramStart"/>
            <w:r w:rsidRPr="007C50D0">
              <w:rPr>
                <w:b/>
                <w:sz w:val="24"/>
                <w:szCs w:val="24"/>
              </w:rPr>
              <w:t>гг</w:t>
            </w:r>
            <w:proofErr w:type="spellEnd"/>
            <w:proofErr w:type="gramEnd"/>
          </w:p>
        </w:tc>
      </w:tr>
      <w:tr w:rsidR="007C50D0" w:rsidRPr="007C50D0" w:rsidTr="00126E2E">
        <w:trPr>
          <w:trHeight w:val="66"/>
        </w:trPr>
        <w:tc>
          <w:tcPr>
            <w:tcW w:w="2640"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2"/>
                <w:szCs w:val="22"/>
              </w:rPr>
            </w:pPr>
            <w:r w:rsidRPr="007C50D0">
              <w:rPr>
                <w:b/>
                <w:sz w:val="22"/>
                <w:szCs w:val="22"/>
              </w:rPr>
              <w:t>Судопроизводство</w:t>
            </w:r>
          </w:p>
        </w:tc>
        <w:tc>
          <w:tcPr>
            <w:tcW w:w="1320" w:type="dxa"/>
            <w:tcBorders>
              <w:top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1320" w:type="dxa"/>
            <w:tcBorders>
              <w:top w:val="sing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1320" w:type="dxa"/>
            <w:tcBorders>
              <w:top w:val="sing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1451" w:type="dxa"/>
            <w:gridSpan w:val="2"/>
            <w:tcBorders>
              <w:top w:val="sing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1163" w:type="dxa"/>
            <w:tcBorders>
              <w:top w:val="single" w:sz="4" w:space="0" w:color="auto"/>
              <w:left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126E2E">
        <w:trPr>
          <w:trHeight w:val="14"/>
        </w:trPr>
        <w:tc>
          <w:tcPr>
            <w:tcW w:w="2640" w:type="dxa"/>
            <w:tcBorders>
              <w:top w:val="thickThinLargeGap" w:sz="24" w:space="0" w:color="auto"/>
            </w:tcBorders>
            <w:vAlign w:val="center"/>
          </w:tcPr>
          <w:p w:rsidR="007C50D0" w:rsidRPr="007C50D0" w:rsidRDefault="007C50D0" w:rsidP="008619A6">
            <w:pPr>
              <w:ind w:left="-479" w:firstLine="479"/>
              <w:contextualSpacing/>
              <w:jc w:val="center"/>
              <w:rPr>
                <w:b/>
                <w:sz w:val="24"/>
                <w:szCs w:val="24"/>
              </w:rPr>
            </w:pPr>
            <w:r w:rsidRPr="007C50D0">
              <w:rPr>
                <w:b/>
                <w:sz w:val="24"/>
                <w:szCs w:val="24"/>
              </w:rPr>
              <w:t>Уголовное</w:t>
            </w:r>
          </w:p>
        </w:tc>
        <w:tc>
          <w:tcPr>
            <w:tcW w:w="1320" w:type="dxa"/>
            <w:tcBorders>
              <w:top w:val="thickThinLargeGap" w:sz="24" w:space="0" w:color="auto"/>
              <w:bottom w:val="sing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8</w:t>
            </w:r>
          </w:p>
        </w:tc>
        <w:tc>
          <w:tcPr>
            <w:tcW w:w="1320"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3</w:t>
            </w:r>
          </w:p>
        </w:tc>
        <w:tc>
          <w:tcPr>
            <w:tcW w:w="1320"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2</w:t>
            </w:r>
          </w:p>
        </w:tc>
        <w:tc>
          <w:tcPr>
            <w:tcW w:w="1440"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2</w:t>
            </w:r>
          </w:p>
        </w:tc>
        <w:tc>
          <w:tcPr>
            <w:tcW w:w="1174" w:type="dxa"/>
            <w:gridSpan w:val="2"/>
            <w:tcBorders>
              <w:top w:val="thickThinLargeGap" w:sz="24" w:space="0" w:color="auto"/>
              <w:left w:val="single" w:sz="4" w:space="0" w:color="auto"/>
            </w:tcBorders>
            <w:vAlign w:val="center"/>
          </w:tcPr>
          <w:p w:rsidR="007C50D0" w:rsidRPr="007C50D0" w:rsidRDefault="007C50D0" w:rsidP="008619A6">
            <w:pPr>
              <w:contextualSpacing/>
              <w:jc w:val="center"/>
              <w:rPr>
                <w:sz w:val="24"/>
                <w:szCs w:val="24"/>
              </w:rPr>
            </w:pPr>
            <w:r w:rsidRPr="007C50D0">
              <w:rPr>
                <w:sz w:val="24"/>
                <w:szCs w:val="24"/>
              </w:rPr>
              <w:t>7</w:t>
            </w:r>
          </w:p>
        </w:tc>
      </w:tr>
      <w:tr w:rsidR="007C50D0" w:rsidRPr="007C50D0" w:rsidTr="00126E2E">
        <w:trPr>
          <w:trHeight w:val="66"/>
        </w:trPr>
        <w:tc>
          <w:tcPr>
            <w:tcW w:w="2640" w:type="dxa"/>
            <w:vAlign w:val="center"/>
          </w:tcPr>
          <w:p w:rsidR="007C50D0" w:rsidRPr="007C50D0" w:rsidRDefault="007C50D0" w:rsidP="008619A6">
            <w:pPr>
              <w:contextualSpacing/>
              <w:jc w:val="center"/>
              <w:rPr>
                <w:b/>
                <w:sz w:val="24"/>
                <w:szCs w:val="24"/>
              </w:rPr>
            </w:pPr>
            <w:r w:rsidRPr="007C50D0">
              <w:rPr>
                <w:b/>
                <w:sz w:val="24"/>
                <w:szCs w:val="24"/>
              </w:rPr>
              <w:t>Гражданское</w:t>
            </w:r>
          </w:p>
        </w:tc>
        <w:tc>
          <w:tcPr>
            <w:tcW w:w="1320" w:type="dxa"/>
            <w:tcBorders>
              <w:top w:val="single" w:sz="4" w:space="0" w:color="auto"/>
              <w:bottom w:val="sing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74</w:t>
            </w:r>
          </w:p>
        </w:tc>
        <w:tc>
          <w:tcPr>
            <w:tcW w:w="132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104</w:t>
            </w:r>
          </w:p>
        </w:tc>
        <w:tc>
          <w:tcPr>
            <w:tcW w:w="132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120</w:t>
            </w:r>
          </w:p>
        </w:tc>
        <w:tc>
          <w:tcPr>
            <w:tcW w:w="144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36</w:t>
            </w:r>
          </w:p>
        </w:tc>
        <w:tc>
          <w:tcPr>
            <w:tcW w:w="1174" w:type="dxa"/>
            <w:gridSpan w:val="2"/>
            <w:tcBorders>
              <w:left w:val="single" w:sz="4" w:space="0" w:color="auto"/>
            </w:tcBorders>
            <w:vAlign w:val="center"/>
          </w:tcPr>
          <w:p w:rsidR="007C50D0" w:rsidRPr="007C50D0" w:rsidRDefault="007C50D0" w:rsidP="008619A6">
            <w:pPr>
              <w:contextualSpacing/>
              <w:jc w:val="center"/>
              <w:rPr>
                <w:sz w:val="24"/>
                <w:szCs w:val="24"/>
              </w:rPr>
            </w:pPr>
            <w:r w:rsidRPr="007C50D0">
              <w:rPr>
                <w:sz w:val="24"/>
                <w:szCs w:val="24"/>
              </w:rPr>
              <w:t>105</w:t>
            </w:r>
          </w:p>
        </w:tc>
      </w:tr>
      <w:tr w:rsidR="007C50D0" w:rsidRPr="007C50D0" w:rsidTr="00126E2E">
        <w:trPr>
          <w:trHeight w:val="66"/>
        </w:trPr>
        <w:tc>
          <w:tcPr>
            <w:tcW w:w="2640" w:type="dxa"/>
            <w:vAlign w:val="center"/>
          </w:tcPr>
          <w:p w:rsidR="007C50D0" w:rsidRPr="007C50D0" w:rsidRDefault="007C50D0" w:rsidP="008619A6">
            <w:pPr>
              <w:contextualSpacing/>
              <w:jc w:val="center"/>
              <w:rPr>
                <w:b/>
                <w:sz w:val="24"/>
                <w:szCs w:val="24"/>
              </w:rPr>
            </w:pPr>
            <w:r w:rsidRPr="007C50D0">
              <w:rPr>
                <w:b/>
                <w:sz w:val="24"/>
                <w:szCs w:val="24"/>
              </w:rPr>
              <w:t>Административное</w:t>
            </w:r>
          </w:p>
        </w:tc>
        <w:tc>
          <w:tcPr>
            <w:tcW w:w="1320" w:type="dxa"/>
            <w:tcBorders>
              <w:top w:val="sing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0</w:t>
            </w:r>
          </w:p>
        </w:tc>
        <w:tc>
          <w:tcPr>
            <w:tcW w:w="1320"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0</w:t>
            </w:r>
          </w:p>
        </w:tc>
        <w:tc>
          <w:tcPr>
            <w:tcW w:w="1320"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0</w:t>
            </w:r>
          </w:p>
        </w:tc>
        <w:tc>
          <w:tcPr>
            <w:tcW w:w="1440"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sz w:val="24"/>
                <w:szCs w:val="24"/>
              </w:rPr>
            </w:pPr>
            <w:r w:rsidRPr="007C50D0">
              <w:rPr>
                <w:sz w:val="24"/>
                <w:szCs w:val="24"/>
              </w:rPr>
              <w:t>0</w:t>
            </w:r>
          </w:p>
        </w:tc>
        <w:tc>
          <w:tcPr>
            <w:tcW w:w="1174" w:type="dxa"/>
            <w:gridSpan w:val="2"/>
            <w:tcBorders>
              <w:left w:val="single" w:sz="4" w:space="0" w:color="auto"/>
            </w:tcBorders>
            <w:vAlign w:val="center"/>
          </w:tcPr>
          <w:p w:rsidR="007C50D0" w:rsidRPr="007C50D0" w:rsidRDefault="007C50D0" w:rsidP="008619A6">
            <w:pPr>
              <w:contextualSpacing/>
              <w:jc w:val="center"/>
              <w:rPr>
                <w:sz w:val="24"/>
                <w:szCs w:val="24"/>
              </w:rPr>
            </w:pPr>
            <w:r w:rsidRPr="007C50D0">
              <w:rPr>
                <w:sz w:val="24"/>
                <w:szCs w:val="24"/>
              </w:rPr>
              <w:t>3</w:t>
            </w:r>
          </w:p>
        </w:tc>
      </w:tr>
    </w:tbl>
    <w:p w:rsidR="007C50D0" w:rsidRPr="007C50D0" w:rsidRDefault="007C50D0" w:rsidP="008619A6">
      <w:pPr>
        <w:ind w:firstLine="993"/>
        <w:contextualSpacing/>
        <w:jc w:val="both"/>
        <w:rPr>
          <w:sz w:val="28"/>
          <w:szCs w:val="28"/>
        </w:rPr>
      </w:pPr>
      <w:r w:rsidRPr="007C50D0">
        <w:rPr>
          <w:sz w:val="28"/>
          <w:szCs w:val="28"/>
        </w:rPr>
        <w:t>В связи с длительным рассмотрением гражданских дел в суды поступило 105 таких заявлений, что составляет 100% от количества дел, рассмотрение которых затянулось на срок свыше 12 месяцев.</w:t>
      </w:r>
    </w:p>
    <w:p w:rsidR="007C50D0" w:rsidRPr="007C50D0" w:rsidRDefault="007C50D0" w:rsidP="008619A6">
      <w:pPr>
        <w:ind w:firstLine="993"/>
        <w:contextualSpacing/>
        <w:jc w:val="both"/>
        <w:rPr>
          <w:sz w:val="28"/>
          <w:szCs w:val="28"/>
        </w:rPr>
      </w:pPr>
      <w:r w:rsidRPr="007C50D0">
        <w:rPr>
          <w:sz w:val="28"/>
          <w:szCs w:val="28"/>
        </w:rPr>
        <w:t xml:space="preserve">В 2017 году также зарегистрировано 3 заявления об ускорении административного судопроизводства. Это 1,9% от количества дел, рассмотренных в срок от трех до двенадцати месяцев. </w:t>
      </w:r>
    </w:p>
    <w:p w:rsidR="007C50D0" w:rsidRPr="007C50D0" w:rsidRDefault="007C50D0" w:rsidP="008619A6">
      <w:pPr>
        <w:ind w:firstLine="900"/>
        <w:contextualSpacing/>
        <w:jc w:val="both"/>
        <w:rPr>
          <w:sz w:val="28"/>
          <w:szCs w:val="28"/>
          <w:u w:val="single"/>
        </w:rPr>
      </w:pPr>
      <w:r w:rsidRPr="007C50D0">
        <w:rPr>
          <w:sz w:val="28"/>
          <w:szCs w:val="28"/>
          <w:u w:val="single"/>
        </w:rPr>
        <w:t>Утверждаемость приговоров и решений, качество работы</w:t>
      </w:r>
    </w:p>
    <w:p w:rsidR="007C50D0" w:rsidRPr="007C50D0" w:rsidRDefault="007C50D0" w:rsidP="008619A6">
      <w:pPr>
        <w:ind w:firstLine="900"/>
        <w:contextualSpacing/>
        <w:jc w:val="both"/>
        <w:rPr>
          <w:sz w:val="28"/>
          <w:szCs w:val="28"/>
        </w:rPr>
      </w:pPr>
      <w:r w:rsidRPr="007C50D0">
        <w:rPr>
          <w:sz w:val="28"/>
          <w:szCs w:val="28"/>
        </w:rPr>
        <w:t>Показатель «Утверждаемость» рассчитывается как доля дел в общем числе обжалованных, решения и приговоры по которым оставлены без изменения при рассмотрении дел во второй инстанции.</w:t>
      </w:r>
      <w:r w:rsidRPr="007C50D0">
        <w:rPr>
          <w:color w:val="0000FF"/>
          <w:sz w:val="28"/>
          <w:szCs w:val="28"/>
        </w:rPr>
        <w:t xml:space="preserve"> </w:t>
      </w:r>
      <w:r w:rsidRPr="007C50D0">
        <w:rPr>
          <w:sz w:val="28"/>
          <w:szCs w:val="28"/>
        </w:rPr>
        <w:t>По сравнению с 2016 годом</w:t>
      </w:r>
      <w:r w:rsidRPr="007C50D0">
        <w:rPr>
          <w:color w:val="0000FF"/>
          <w:sz w:val="28"/>
          <w:szCs w:val="28"/>
        </w:rPr>
        <w:t xml:space="preserve"> </w:t>
      </w:r>
      <w:r w:rsidRPr="007C50D0">
        <w:rPr>
          <w:sz w:val="28"/>
          <w:szCs w:val="28"/>
        </w:rPr>
        <w:t>в уголовном производстве наблюдается рост на 1,2%, в гражданском производстве утверждаемость осталась на уровне прошлого года. В административном производстве утверждаемость составила 77,1%.</w:t>
      </w:r>
    </w:p>
    <w:p w:rsidR="007007DF" w:rsidRPr="007C50D0" w:rsidRDefault="007007DF" w:rsidP="007007DF">
      <w:pPr>
        <w:ind w:firstLine="567"/>
        <w:contextualSpacing/>
        <w:jc w:val="both"/>
        <w:rPr>
          <w:sz w:val="28"/>
          <w:szCs w:val="28"/>
        </w:rPr>
      </w:pPr>
      <w:r w:rsidRPr="007C50D0">
        <w:rPr>
          <w:sz w:val="28"/>
          <w:szCs w:val="28"/>
        </w:rPr>
        <w:t xml:space="preserve"> </w:t>
      </w:r>
      <w:r w:rsidRPr="007C50D0">
        <w:rPr>
          <w:sz w:val="24"/>
          <w:szCs w:val="24"/>
        </w:rPr>
        <w:t xml:space="preserve">                                                                                                </w:t>
      </w:r>
      <w:r>
        <w:rPr>
          <w:sz w:val="24"/>
          <w:szCs w:val="24"/>
        </w:rPr>
        <w:t xml:space="preserve">  </w:t>
      </w:r>
      <w:r w:rsidRPr="007C50D0">
        <w:rPr>
          <w:sz w:val="24"/>
          <w:szCs w:val="24"/>
        </w:rPr>
        <w:t xml:space="preserve">             Таблица </w:t>
      </w:r>
      <w:r>
        <w:rPr>
          <w:sz w:val="24"/>
          <w:szCs w:val="24"/>
        </w:rPr>
        <w:t>16</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2640"/>
        <w:gridCol w:w="1320"/>
        <w:gridCol w:w="1320"/>
        <w:gridCol w:w="1320"/>
        <w:gridCol w:w="1440"/>
        <w:gridCol w:w="11"/>
        <w:gridCol w:w="1163"/>
      </w:tblGrid>
      <w:tr w:rsidR="007007DF" w:rsidRPr="007C50D0" w:rsidTr="00C414DD">
        <w:trPr>
          <w:trHeight w:val="113"/>
        </w:trPr>
        <w:tc>
          <w:tcPr>
            <w:tcW w:w="9214" w:type="dxa"/>
            <w:gridSpan w:val="7"/>
            <w:tcBorders>
              <w:top w:val="double" w:sz="4" w:space="0" w:color="auto"/>
              <w:bottom w:val="single" w:sz="4" w:space="0" w:color="auto"/>
            </w:tcBorders>
            <w:shd w:val="clear" w:color="auto" w:fill="auto"/>
            <w:vAlign w:val="center"/>
          </w:tcPr>
          <w:p w:rsidR="007007DF" w:rsidRPr="007C50D0" w:rsidRDefault="007007DF" w:rsidP="00C414DD">
            <w:pPr>
              <w:contextualSpacing/>
              <w:jc w:val="center"/>
              <w:rPr>
                <w:b/>
                <w:sz w:val="24"/>
                <w:szCs w:val="24"/>
              </w:rPr>
            </w:pPr>
            <w:r w:rsidRPr="007C50D0">
              <w:rPr>
                <w:b/>
                <w:sz w:val="24"/>
                <w:szCs w:val="24"/>
              </w:rPr>
              <w:t>Утверждаемость приговоров и решений  в процентах к обжалованным делам(%)</w:t>
            </w:r>
          </w:p>
        </w:tc>
      </w:tr>
      <w:tr w:rsidR="007007DF" w:rsidRPr="007C50D0" w:rsidTr="00C414DD">
        <w:trPr>
          <w:trHeight w:val="66"/>
        </w:trPr>
        <w:tc>
          <w:tcPr>
            <w:tcW w:w="2640" w:type="dxa"/>
            <w:tcBorders>
              <w:top w:val="single" w:sz="4" w:space="0" w:color="auto"/>
              <w:bottom w:val="thickThinLargeGap" w:sz="24" w:space="0" w:color="auto"/>
            </w:tcBorders>
            <w:shd w:val="clear" w:color="auto" w:fill="auto"/>
            <w:vAlign w:val="center"/>
          </w:tcPr>
          <w:p w:rsidR="007007DF" w:rsidRPr="007C50D0" w:rsidRDefault="007007DF" w:rsidP="00C414DD">
            <w:pPr>
              <w:contextualSpacing/>
              <w:jc w:val="center"/>
              <w:rPr>
                <w:b/>
                <w:sz w:val="22"/>
                <w:szCs w:val="22"/>
              </w:rPr>
            </w:pPr>
            <w:r w:rsidRPr="007C50D0">
              <w:rPr>
                <w:b/>
                <w:sz w:val="22"/>
                <w:szCs w:val="22"/>
              </w:rPr>
              <w:t>Судопроизводство</w:t>
            </w:r>
          </w:p>
        </w:tc>
        <w:tc>
          <w:tcPr>
            <w:tcW w:w="1320" w:type="dxa"/>
            <w:tcBorders>
              <w:top w:val="single" w:sz="4" w:space="0" w:color="auto"/>
              <w:bottom w:val="thickThinLargeGap" w:sz="24" w:space="0" w:color="auto"/>
              <w:right w:val="single" w:sz="4" w:space="0" w:color="auto"/>
            </w:tcBorders>
            <w:shd w:val="clear" w:color="auto" w:fill="auto"/>
            <w:vAlign w:val="center"/>
          </w:tcPr>
          <w:p w:rsidR="007007DF" w:rsidRPr="007C50D0" w:rsidRDefault="007007DF" w:rsidP="00C414DD">
            <w:pPr>
              <w:contextualSpacing/>
              <w:jc w:val="center"/>
              <w:rPr>
                <w:b/>
                <w:sz w:val="24"/>
                <w:szCs w:val="24"/>
              </w:rPr>
            </w:pPr>
            <w:r w:rsidRPr="007C50D0">
              <w:rPr>
                <w:b/>
                <w:sz w:val="24"/>
                <w:szCs w:val="24"/>
              </w:rPr>
              <w:t>2013</w:t>
            </w:r>
          </w:p>
        </w:tc>
        <w:tc>
          <w:tcPr>
            <w:tcW w:w="1320" w:type="dxa"/>
            <w:tcBorders>
              <w:top w:val="single" w:sz="4" w:space="0" w:color="auto"/>
              <w:left w:val="single" w:sz="4" w:space="0" w:color="auto"/>
              <w:bottom w:val="thickThinLargeGap" w:sz="24" w:space="0" w:color="auto"/>
              <w:right w:val="single" w:sz="4" w:space="0" w:color="auto"/>
            </w:tcBorders>
            <w:shd w:val="clear" w:color="auto" w:fill="auto"/>
            <w:vAlign w:val="center"/>
          </w:tcPr>
          <w:p w:rsidR="007007DF" w:rsidRPr="007C50D0" w:rsidRDefault="007007DF" w:rsidP="00C414DD">
            <w:pPr>
              <w:contextualSpacing/>
              <w:jc w:val="center"/>
              <w:rPr>
                <w:b/>
                <w:sz w:val="24"/>
                <w:szCs w:val="24"/>
              </w:rPr>
            </w:pPr>
            <w:r w:rsidRPr="007C50D0">
              <w:rPr>
                <w:b/>
                <w:sz w:val="24"/>
                <w:szCs w:val="24"/>
              </w:rPr>
              <w:t>2014</w:t>
            </w:r>
          </w:p>
        </w:tc>
        <w:tc>
          <w:tcPr>
            <w:tcW w:w="1320" w:type="dxa"/>
            <w:tcBorders>
              <w:top w:val="single" w:sz="4" w:space="0" w:color="auto"/>
              <w:left w:val="single" w:sz="4" w:space="0" w:color="auto"/>
              <w:bottom w:val="thickThinLargeGap" w:sz="24" w:space="0" w:color="auto"/>
              <w:right w:val="single" w:sz="4" w:space="0" w:color="auto"/>
            </w:tcBorders>
            <w:shd w:val="clear" w:color="auto" w:fill="auto"/>
            <w:vAlign w:val="center"/>
          </w:tcPr>
          <w:p w:rsidR="007007DF" w:rsidRPr="007C50D0" w:rsidRDefault="007007DF" w:rsidP="00C414DD">
            <w:pPr>
              <w:contextualSpacing/>
              <w:jc w:val="center"/>
              <w:rPr>
                <w:b/>
                <w:sz w:val="24"/>
                <w:szCs w:val="24"/>
              </w:rPr>
            </w:pPr>
            <w:r w:rsidRPr="007C50D0">
              <w:rPr>
                <w:b/>
                <w:sz w:val="24"/>
                <w:szCs w:val="24"/>
              </w:rPr>
              <w:t>2015</w:t>
            </w:r>
          </w:p>
        </w:tc>
        <w:tc>
          <w:tcPr>
            <w:tcW w:w="1451" w:type="dxa"/>
            <w:gridSpan w:val="2"/>
            <w:tcBorders>
              <w:top w:val="single" w:sz="4" w:space="0" w:color="auto"/>
              <w:left w:val="single" w:sz="4" w:space="0" w:color="auto"/>
              <w:bottom w:val="thickThinLargeGap" w:sz="24" w:space="0" w:color="auto"/>
              <w:right w:val="single" w:sz="4" w:space="0" w:color="auto"/>
            </w:tcBorders>
            <w:shd w:val="clear" w:color="auto" w:fill="auto"/>
            <w:vAlign w:val="center"/>
          </w:tcPr>
          <w:p w:rsidR="007007DF" w:rsidRPr="007C50D0" w:rsidRDefault="007007DF" w:rsidP="00C414DD">
            <w:pPr>
              <w:contextualSpacing/>
              <w:jc w:val="center"/>
              <w:rPr>
                <w:b/>
                <w:sz w:val="24"/>
                <w:szCs w:val="24"/>
              </w:rPr>
            </w:pPr>
            <w:r w:rsidRPr="007C50D0">
              <w:rPr>
                <w:b/>
                <w:sz w:val="24"/>
                <w:szCs w:val="24"/>
              </w:rPr>
              <w:t>2016</w:t>
            </w:r>
          </w:p>
        </w:tc>
        <w:tc>
          <w:tcPr>
            <w:tcW w:w="1163" w:type="dxa"/>
            <w:tcBorders>
              <w:top w:val="single" w:sz="4" w:space="0" w:color="auto"/>
              <w:left w:val="single" w:sz="4" w:space="0" w:color="auto"/>
              <w:bottom w:val="thickThinLargeGap" w:sz="24" w:space="0" w:color="auto"/>
            </w:tcBorders>
            <w:shd w:val="clear" w:color="auto" w:fill="auto"/>
            <w:vAlign w:val="center"/>
          </w:tcPr>
          <w:p w:rsidR="007007DF" w:rsidRPr="007C50D0" w:rsidRDefault="007007DF" w:rsidP="00C414DD">
            <w:pPr>
              <w:contextualSpacing/>
              <w:jc w:val="center"/>
              <w:rPr>
                <w:b/>
                <w:sz w:val="24"/>
                <w:szCs w:val="24"/>
              </w:rPr>
            </w:pPr>
            <w:r w:rsidRPr="007C50D0">
              <w:rPr>
                <w:b/>
                <w:sz w:val="24"/>
                <w:szCs w:val="24"/>
              </w:rPr>
              <w:t>2017</w:t>
            </w:r>
          </w:p>
        </w:tc>
      </w:tr>
      <w:tr w:rsidR="007007DF" w:rsidRPr="007C50D0" w:rsidTr="00C414DD">
        <w:trPr>
          <w:trHeight w:val="14"/>
        </w:trPr>
        <w:tc>
          <w:tcPr>
            <w:tcW w:w="2640" w:type="dxa"/>
            <w:tcBorders>
              <w:top w:val="thickThinLargeGap" w:sz="24" w:space="0" w:color="auto"/>
            </w:tcBorders>
            <w:vAlign w:val="center"/>
          </w:tcPr>
          <w:p w:rsidR="007007DF" w:rsidRPr="007C50D0" w:rsidRDefault="007007DF" w:rsidP="007007DF">
            <w:pPr>
              <w:ind w:left="-479" w:firstLine="479"/>
              <w:contextualSpacing/>
              <w:jc w:val="center"/>
              <w:rPr>
                <w:b/>
                <w:sz w:val="24"/>
                <w:szCs w:val="24"/>
              </w:rPr>
            </w:pPr>
            <w:r w:rsidRPr="007C50D0">
              <w:rPr>
                <w:b/>
                <w:sz w:val="24"/>
                <w:szCs w:val="24"/>
              </w:rPr>
              <w:t>Уголовное</w:t>
            </w:r>
          </w:p>
        </w:tc>
        <w:tc>
          <w:tcPr>
            <w:tcW w:w="1320" w:type="dxa"/>
            <w:tcBorders>
              <w:top w:val="thickThinLargeGap" w:sz="24" w:space="0" w:color="auto"/>
              <w:bottom w:val="single" w:sz="4" w:space="0" w:color="auto"/>
              <w:right w:val="single" w:sz="4" w:space="0" w:color="auto"/>
            </w:tcBorders>
            <w:vAlign w:val="center"/>
          </w:tcPr>
          <w:p w:rsidR="007007DF" w:rsidRPr="007C50D0" w:rsidRDefault="007007DF" w:rsidP="007007DF">
            <w:pPr>
              <w:contextualSpacing/>
              <w:jc w:val="center"/>
              <w:rPr>
                <w:sz w:val="24"/>
                <w:szCs w:val="24"/>
              </w:rPr>
            </w:pPr>
            <w:r w:rsidRPr="007C50D0">
              <w:rPr>
                <w:sz w:val="24"/>
                <w:szCs w:val="24"/>
              </w:rPr>
              <w:t>84,6</w:t>
            </w:r>
          </w:p>
        </w:tc>
        <w:tc>
          <w:tcPr>
            <w:tcW w:w="1320" w:type="dxa"/>
            <w:tcBorders>
              <w:top w:val="thickThinLargeGap" w:sz="24" w:space="0" w:color="auto"/>
              <w:left w:val="single" w:sz="4" w:space="0" w:color="auto"/>
              <w:bottom w:val="single" w:sz="4" w:space="0" w:color="auto"/>
              <w:right w:val="single" w:sz="4" w:space="0" w:color="auto"/>
            </w:tcBorders>
            <w:vAlign w:val="center"/>
          </w:tcPr>
          <w:p w:rsidR="007007DF" w:rsidRPr="007C50D0" w:rsidRDefault="007007DF" w:rsidP="007007DF">
            <w:pPr>
              <w:contextualSpacing/>
              <w:jc w:val="center"/>
              <w:rPr>
                <w:sz w:val="24"/>
                <w:szCs w:val="24"/>
              </w:rPr>
            </w:pPr>
            <w:r w:rsidRPr="007C50D0">
              <w:rPr>
                <w:sz w:val="24"/>
                <w:szCs w:val="24"/>
              </w:rPr>
              <w:t>86,0</w:t>
            </w:r>
          </w:p>
        </w:tc>
        <w:tc>
          <w:tcPr>
            <w:tcW w:w="1320" w:type="dxa"/>
            <w:tcBorders>
              <w:top w:val="thickThinLargeGap" w:sz="24" w:space="0" w:color="auto"/>
              <w:left w:val="single" w:sz="4" w:space="0" w:color="auto"/>
              <w:bottom w:val="single" w:sz="4" w:space="0" w:color="auto"/>
              <w:right w:val="single" w:sz="4" w:space="0" w:color="auto"/>
            </w:tcBorders>
            <w:vAlign w:val="center"/>
          </w:tcPr>
          <w:p w:rsidR="007007DF" w:rsidRPr="007C50D0" w:rsidRDefault="007007DF" w:rsidP="007007DF">
            <w:pPr>
              <w:contextualSpacing/>
              <w:jc w:val="center"/>
              <w:rPr>
                <w:sz w:val="24"/>
                <w:szCs w:val="24"/>
              </w:rPr>
            </w:pPr>
            <w:r w:rsidRPr="007C50D0">
              <w:rPr>
                <w:sz w:val="24"/>
                <w:szCs w:val="24"/>
              </w:rPr>
              <w:t>82,5</w:t>
            </w:r>
          </w:p>
        </w:tc>
        <w:tc>
          <w:tcPr>
            <w:tcW w:w="1440" w:type="dxa"/>
            <w:tcBorders>
              <w:top w:val="thickThinLargeGap" w:sz="24" w:space="0" w:color="auto"/>
              <w:left w:val="single" w:sz="4" w:space="0" w:color="auto"/>
              <w:bottom w:val="single" w:sz="4" w:space="0" w:color="auto"/>
              <w:right w:val="single" w:sz="4" w:space="0" w:color="auto"/>
            </w:tcBorders>
            <w:vAlign w:val="center"/>
          </w:tcPr>
          <w:p w:rsidR="007007DF" w:rsidRPr="007C50D0" w:rsidRDefault="007007DF" w:rsidP="007007DF">
            <w:pPr>
              <w:contextualSpacing/>
              <w:jc w:val="center"/>
              <w:rPr>
                <w:sz w:val="24"/>
                <w:szCs w:val="24"/>
              </w:rPr>
            </w:pPr>
            <w:r w:rsidRPr="007C50D0">
              <w:rPr>
                <w:sz w:val="24"/>
                <w:szCs w:val="24"/>
              </w:rPr>
              <w:t>83,9</w:t>
            </w:r>
          </w:p>
        </w:tc>
        <w:tc>
          <w:tcPr>
            <w:tcW w:w="1174" w:type="dxa"/>
            <w:gridSpan w:val="2"/>
            <w:tcBorders>
              <w:top w:val="thickThinLargeGap" w:sz="24" w:space="0" w:color="auto"/>
              <w:left w:val="single" w:sz="4" w:space="0" w:color="auto"/>
            </w:tcBorders>
            <w:vAlign w:val="center"/>
          </w:tcPr>
          <w:p w:rsidR="007007DF" w:rsidRPr="007C50D0" w:rsidRDefault="007007DF" w:rsidP="007007DF">
            <w:pPr>
              <w:contextualSpacing/>
              <w:jc w:val="center"/>
              <w:rPr>
                <w:sz w:val="24"/>
                <w:szCs w:val="24"/>
              </w:rPr>
            </w:pPr>
            <w:r w:rsidRPr="007C50D0">
              <w:rPr>
                <w:sz w:val="24"/>
                <w:szCs w:val="24"/>
              </w:rPr>
              <w:t>85,1</w:t>
            </w:r>
          </w:p>
        </w:tc>
      </w:tr>
      <w:tr w:rsidR="007007DF" w:rsidRPr="007C50D0" w:rsidTr="00C414DD">
        <w:trPr>
          <w:trHeight w:val="66"/>
        </w:trPr>
        <w:tc>
          <w:tcPr>
            <w:tcW w:w="2640" w:type="dxa"/>
            <w:vAlign w:val="center"/>
          </w:tcPr>
          <w:p w:rsidR="007007DF" w:rsidRPr="007C50D0" w:rsidRDefault="007007DF" w:rsidP="007007DF">
            <w:pPr>
              <w:contextualSpacing/>
              <w:jc w:val="center"/>
              <w:rPr>
                <w:b/>
                <w:sz w:val="24"/>
                <w:szCs w:val="24"/>
              </w:rPr>
            </w:pPr>
            <w:r w:rsidRPr="007C50D0">
              <w:rPr>
                <w:b/>
                <w:sz w:val="24"/>
                <w:szCs w:val="24"/>
              </w:rPr>
              <w:t>Гражданское</w:t>
            </w:r>
          </w:p>
        </w:tc>
        <w:tc>
          <w:tcPr>
            <w:tcW w:w="1320" w:type="dxa"/>
            <w:tcBorders>
              <w:top w:val="single" w:sz="4" w:space="0" w:color="auto"/>
              <w:bottom w:val="single" w:sz="4" w:space="0" w:color="auto"/>
              <w:right w:val="single" w:sz="4" w:space="0" w:color="auto"/>
            </w:tcBorders>
            <w:vAlign w:val="center"/>
          </w:tcPr>
          <w:p w:rsidR="007007DF" w:rsidRPr="007C50D0" w:rsidRDefault="007007DF" w:rsidP="007007DF">
            <w:pPr>
              <w:ind w:firstLine="12"/>
              <w:contextualSpacing/>
              <w:jc w:val="center"/>
              <w:rPr>
                <w:sz w:val="24"/>
                <w:szCs w:val="24"/>
              </w:rPr>
            </w:pPr>
            <w:r w:rsidRPr="007C50D0">
              <w:rPr>
                <w:sz w:val="24"/>
                <w:szCs w:val="24"/>
              </w:rPr>
              <w:t>76,4</w:t>
            </w:r>
          </w:p>
        </w:tc>
        <w:tc>
          <w:tcPr>
            <w:tcW w:w="1320" w:type="dxa"/>
            <w:tcBorders>
              <w:top w:val="single" w:sz="4" w:space="0" w:color="auto"/>
              <w:left w:val="single" w:sz="4" w:space="0" w:color="auto"/>
              <w:bottom w:val="single" w:sz="4" w:space="0" w:color="auto"/>
              <w:right w:val="single" w:sz="4" w:space="0" w:color="auto"/>
            </w:tcBorders>
            <w:vAlign w:val="center"/>
          </w:tcPr>
          <w:p w:rsidR="007007DF" w:rsidRPr="007C50D0" w:rsidRDefault="007007DF" w:rsidP="007007DF">
            <w:pPr>
              <w:ind w:firstLine="12"/>
              <w:contextualSpacing/>
              <w:jc w:val="center"/>
              <w:rPr>
                <w:sz w:val="24"/>
                <w:szCs w:val="24"/>
              </w:rPr>
            </w:pPr>
            <w:r w:rsidRPr="007C50D0">
              <w:rPr>
                <w:sz w:val="24"/>
                <w:szCs w:val="24"/>
              </w:rPr>
              <w:t>77,8</w:t>
            </w:r>
          </w:p>
        </w:tc>
        <w:tc>
          <w:tcPr>
            <w:tcW w:w="1320" w:type="dxa"/>
            <w:tcBorders>
              <w:top w:val="single" w:sz="4" w:space="0" w:color="auto"/>
              <w:left w:val="single" w:sz="4" w:space="0" w:color="auto"/>
              <w:bottom w:val="single" w:sz="4" w:space="0" w:color="auto"/>
              <w:right w:val="single" w:sz="4" w:space="0" w:color="auto"/>
            </w:tcBorders>
            <w:vAlign w:val="center"/>
          </w:tcPr>
          <w:p w:rsidR="007007DF" w:rsidRPr="007C50D0" w:rsidRDefault="007007DF" w:rsidP="007007DF">
            <w:pPr>
              <w:ind w:firstLine="12"/>
              <w:contextualSpacing/>
              <w:jc w:val="center"/>
              <w:rPr>
                <w:sz w:val="24"/>
                <w:szCs w:val="24"/>
              </w:rPr>
            </w:pPr>
            <w:r w:rsidRPr="007C50D0">
              <w:rPr>
                <w:sz w:val="24"/>
                <w:szCs w:val="24"/>
              </w:rPr>
              <w:t>79,0</w:t>
            </w:r>
          </w:p>
        </w:tc>
        <w:tc>
          <w:tcPr>
            <w:tcW w:w="1440" w:type="dxa"/>
            <w:tcBorders>
              <w:top w:val="single" w:sz="4" w:space="0" w:color="auto"/>
              <w:left w:val="single" w:sz="4" w:space="0" w:color="auto"/>
              <w:bottom w:val="single" w:sz="4" w:space="0" w:color="auto"/>
              <w:right w:val="single" w:sz="4" w:space="0" w:color="auto"/>
            </w:tcBorders>
            <w:vAlign w:val="center"/>
          </w:tcPr>
          <w:p w:rsidR="007007DF" w:rsidRPr="007C50D0" w:rsidRDefault="007007DF" w:rsidP="007007DF">
            <w:pPr>
              <w:ind w:firstLine="12"/>
              <w:contextualSpacing/>
              <w:jc w:val="center"/>
              <w:rPr>
                <w:sz w:val="24"/>
                <w:szCs w:val="24"/>
              </w:rPr>
            </w:pPr>
            <w:r w:rsidRPr="007C50D0">
              <w:rPr>
                <w:sz w:val="24"/>
                <w:szCs w:val="24"/>
              </w:rPr>
              <w:t>78,7</w:t>
            </w:r>
          </w:p>
        </w:tc>
        <w:tc>
          <w:tcPr>
            <w:tcW w:w="1174" w:type="dxa"/>
            <w:gridSpan w:val="2"/>
            <w:tcBorders>
              <w:left w:val="single" w:sz="4" w:space="0" w:color="auto"/>
            </w:tcBorders>
            <w:vAlign w:val="center"/>
          </w:tcPr>
          <w:p w:rsidR="007007DF" w:rsidRPr="007C50D0" w:rsidRDefault="007007DF" w:rsidP="007007DF">
            <w:pPr>
              <w:contextualSpacing/>
              <w:jc w:val="center"/>
              <w:rPr>
                <w:sz w:val="24"/>
                <w:szCs w:val="24"/>
              </w:rPr>
            </w:pPr>
            <w:r w:rsidRPr="007C50D0">
              <w:rPr>
                <w:sz w:val="24"/>
                <w:szCs w:val="24"/>
              </w:rPr>
              <w:t>78,7</w:t>
            </w:r>
          </w:p>
        </w:tc>
      </w:tr>
      <w:tr w:rsidR="007007DF" w:rsidRPr="007C50D0" w:rsidTr="00C414DD">
        <w:trPr>
          <w:trHeight w:val="66"/>
        </w:trPr>
        <w:tc>
          <w:tcPr>
            <w:tcW w:w="2640" w:type="dxa"/>
            <w:vAlign w:val="center"/>
          </w:tcPr>
          <w:p w:rsidR="007007DF" w:rsidRPr="007C50D0" w:rsidRDefault="007007DF" w:rsidP="007007DF">
            <w:pPr>
              <w:contextualSpacing/>
              <w:jc w:val="center"/>
              <w:rPr>
                <w:b/>
                <w:sz w:val="24"/>
                <w:szCs w:val="24"/>
              </w:rPr>
            </w:pPr>
            <w:r w:rsidRPr="007C50D0">
              <w:rPr>
                <w:b/>
                <w:sz w:val="24"/>
                <w:szCs w:val="24"/>
              </w:rPr>
              <w:t>Административное</w:t>
            </w:r>
          </w:p>
        </w:tc>
        <w:tc>
          <w:tcPr>
            <w:tcW w:w="1320" w:type="dxa"/>
            <w:tcBorders>
              <w:top w:val="single" w:sz="4" w:space="0" w:color="auto"/>
              <w:right w:val="single" w:sz="4" w:space="0" w:color="auto"/>
            </w:tcBorders>
            <w:vAlign w:val="center"/>
          </w:tcPr>
          <w:p w:rsidR="007007DF" w:rsidRPr="007C50D0" w:rsidRDefault="007007DF" w:rsidP="007007DF">
            <w:pPr>
              <w:ind w:firstLine="12"/>
              <w:contextualSpacing/>
              <w:jc w:val="center"/>
              <w:rPr>
                <w:sz w:val="24"/>
                <w:szCs w:val="24"/>
              </w:rPr>
            </w:pPr>
          </w:p>
        </w:tc>
        <w:tc>
          <w:tcPr>
            <w:tcW w:w="1320" w:type="dxa"/>
            <w:tcBorders>
              <w:top w:val="single" w:sz="4" w:space="0" w:color="auto"/>
              <w:left w:val="single" w:sz="4" w:space="0" w:color="auto"/>
              <w:bottom w:val="double" w:sz="4" w:space="0" w:color="auto"/>
              <w:right w:val="single" w:sz="4" w:space="0" w:color="auto"/>
            </w:tcBorders>
            <w:vAlign w:val="center"/>
          </w:tcPr>
          <w:p w:rsidR="007007DF" w:rsidRPr="007C50D0" w:rsidRDefault="007007DF" w:rsidP="007007DF">
            <w:pPr>
              <w:ind w:firstLine="12"/>
              <w:contextualSpacing/>
              <w:jc w:val="center"/>
              <w:rPr>
                <w:sz w:val="24"/>
                <w:szCs w:val="24"/>
              </w:rPr>
            </w:pPr>
          </w:p>
        </w:tc>
        <w:tc>
          <w:tcPr>
            <w:tcW w:w="1320" w:type="dxa"/>
            <w:tcBorders>
              <w:top w:val="single" w:sz="4" w:space="0" w:color="auto"/>
              <w:left w:val="single" w:sz="4" w:space="0" w:color="auto"/>
              <w:bottom w:val="double" w:sz="4" w:space="0" w:color="auto"/>
              <w:right w:val="single" w:sz="4" w:space="0" w:color="auto"/>
            </w:tcBorders>
            <w:vAlign w:val="center"/>
          </w:tcPr>
          <w:p w:rsidR="007007DF" w:rsidRPr="007C50D0" w:rsidRDefault="007007DF" w:rsidP="007007DF">
            <w:pPr>
              <w:ind w:firstLine="12"/>
              <w:contextualSpacing/>
              <w:jc w:val="center"/>
              <w:rPr>
                <w:sz w:val="24"/>
                <w:szCs w:val="24"/>
              </w:rPr>
            </w:pPr>
          </w:p>
        </w:tc>
        <w:tc>
          <w:tcPr>
            <w:tcW w:w="1440" w:type="dxa"/>
            <w:tcBorders>
              <w:top w:val="single" w:sz="4" w:space="0" w:color="auto"/>
              <w:left w:val="single" w:sz="4" w:space="0" w:color="auto"/>
              <w:bottom w:val="double" w:sz="4" w:space="0" w:color="auto"/>
              <w:right w:val="single" w:sz="4" w:space="0" w:color="auto"/>
            </w:tcBorders>
            <w:vAlign w:val="center"/>
          </w:tcPr>
          <w:p w:rsidR="007007DF" w:rsidRPr="007C50D0" w:rsidRDefault="007007DF" w:rsidP="007007DF">
            <w:pPr>
              <w:ind w:firstLine="12"/>
              <w:contextualSpacing/>
              <w:jc w:val="center"/>
              <w:rPr>
                <w:sz w:val="24"/>
                <w:szCs w:val="24"/>
              </w:rPr>
            </w:pPr>
          </w:p>
        </w:tc>
        <w:tc>
          <w:tcPr>
            <w:tcW w:w="1174" w:type="dxa"/>
            <w:gridSpan w:val="2"/>
            <w:tcBorders>
              <w:left w:val="single" w:sz="4" w:space="0" w:color="auto"/>
            </w:tcBorders>
            <w:vAlign w:val="center"/>
          </w:tcPr>
          <w:p w:rsidR="007007DF" w:rsidRPr="007C50D0" w:rsidRDefault="007007DF" w:rsidP="007007DF">
            <w:pPr>
              <w:contextualSpacing/>
              <w:jc w:val="center"/>
              <w:rPr>
                <w:sz w:val="24"/>
                <w:szCs w:val="24"/>
              </w:rPr>
            </w:pPr>
            <w:r w:rsidRPr="007C50D0">
              <w:rPr>
                <w:sz w:val="24"/>
                <w:szCs w:val="24"/>
              </w:rPr>
              <w:t>77,1</w:t>
            </w:r>
          </w:p>
        </w:tc>
      </w:tr>
    </w:tbl>
    <w:p w:rsidR="007C50D0" w:rsidRPr="007C50D0" w:rsidRDefault="007C50D0" w:rsidP="008619A6">
      <w:pPr>
        <w:ind w:firstLine="720"/>
        <w:contextualSpacing/>
        <w:jc w:val="both"/>
        <w:rPr>
          <w:sz w:val="28"/>
          <w:szCs w:val="28"/>
        </w:rPr>
      </w:pPr>
      <w:r w:rsidRPr="007C50D0">
        <w:rPr>
          <w:sz w:val="28"/>
          <w:szCs w:val="28"/>
        </w:rPr>
        <w:t>Ежегодное колебание значения данного показателя  в уголовном производстве исключает очевидное направление вектора его динамики. Выравнивание представленных в Таблице 6 динамических рядов способом скользящей средней позволяет сделать вывод о сохраняющихся тенденциях к уменьшению этого показателя в уголовном судопроизводстве, и к увеличению в гражданском.</w:t>
      </w:r>
    </w:p>
    <w:p w:rsidR="007C50D0" w:rsidRDefault="007C50D0" w:rsidP="008619A6">
      <w:pPr>
        <w:ind w:firstLine="567"/>
        <w:contextualSpacing/>
        <w:jc w:val="both"/>
        <w:rPr>
          <w:sz w:val="24"/>
          <w:szCs w:val="24"/>
        </w:rPr>
      </w:pPr>
      <w:r w:rsidRPr="007C50D0">
        <w:t xml:space="preserve">                                                                                                                                                    </w:t>
      </w:r>
      <w:r w:rsidRPr="007C50D0">
        <w:rPr>
          <w:sz w:val="24"/>
          <w:szCs w:val="24"/>
        </w:rPr>
        <w:t>График 4</w:t>
      </w:r>
    </w:p>
    <w:p w:rsidR="00A64F9C" w:rsidRPr="007C50D0" w:rsidRDefault="00A64F9C" w:rsidP="008619A6">
      <w:pPr>
        <w:ind w:firstLine="567"/>
        <w:contextualSpacing/>
        <w:jc w:val="both"/>
        <w:rPr>
          <w:sz w:val="24"/>
          <w:szCs w:val="24"/>
        </w:rPr>
      </w:pPr>
      <w:r>
        <w:rPr>
          <w:noProof/>
        </w:rPr>
        <w:drawing>
          <wp:inline distT="0" distB="0" distL="0" distR="0" wp14:anchorId="5F3A0236" wp14:editId="6DE1B445">
            <wp:extent cx="5198075" cy="2496065"/>
            <wp:effectExtent l="0" t="0" r="22225" b="1905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50D0" w:rsidRPr="007C50D0" w:rsidRDefault="007C50D0" w:rsidP="008619A6">
      <w:pPr>
        <w:ind w:firstLine="567"/>
        <w:contextualSpacing/>
        <w:jc w:val="both"/>
        <w:rPr>
          <w:sz w:val="28"/>
          <w:szCs w:val="28"/>
        </w:rPr>
      </w:pPr>
      <w:r w:rsidRPr="007C50D0">
        <w:rPr>
          <w:sz w:val="28"/>
          <w:szCs w:val="28"/>
        </w:rPr>
        <w:lastRenderedPageBreak/>
        <w:t>Работа судов может оцениваться также и таким показателем как «Качество (стабильность)», расчет которого основывается на определении доли не обжалованных и оставленных без изменения решений и приговоров в общем количестве рассмотренных судом дел.</w:t>
      </w:r>
    </w:p>
    <w:tbl>
      <w:tblPr>
        <w:tblpPr w:leftFromText="180" w:rightFromText="180" w:vertAnchor="text" w:horzAnchor="page" w:tblpX="1665" w:tblpY="335"/>
        <w:tblW w:w="9322"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2660"/>
        <w:gridCol w:w="1372"/>
        <w:gridCol w:w="1276"/>
        <w:gridCol w:w="1417"/>
        <w:gridCol w:w="1299"/>
        <w:gridCol w:w="1298"/>
      </w:tblGrid>
      <w:tr w:rsidR="007C50D0" w:rsidRPr="007C50D0" w:rsidTr="007007DF">
        <w:trPr>
          <w:trHeight w:val="396"/>
        </w:trPr>
        <w:tc>
          <w:tcPr>
            <w:tcW w:w="9322" w:type="dxa"/>
            <w:gridSpan w:val="6"/>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Качество работы районных (городских) судов Республики Татарстан</w:t>
            </w:r>
          </w:p>
        </w:tc>
      </w:tr>
      <w:tr w:rsidR="007C50D0" w:rsidRPr="007C50D0" w:rsidTr="007007DF">
        <w:trPr>
          <w:trHeight w:val="299"/>
        </w:trPr>
        <w:tc>
          <w:tcPr>
            <w:tcW w:w="2660"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sz w:val="24"/>
                <w:szCs w:val="24"/>
              </w:rPr>
              <w:t>Судопроизводство</w:t>
            </w:r>
          </w:p>
        </w:tc>
        <w:tc>
          <w:tcPr>
            <w:tcW w:w="1372"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1276"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1417"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1299"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1298" w:type="dxa"/>
            <w:tcBorders>
              <w:top w:val="sing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7007DF">
        <w:trPr>
          <w:trHeight w:val="14"/>
        </w:trPr>
        <w:tc>
          <w:tcPr>
            <w:tcW w:w="2660" w:type="dxa"/>
            <w:tcBorders>
              <w:top w:val="thickThinLargeGap" w:sz="24" w:space="0" w:color="auto"/>
            </w:tcBorders>
            <w:vAlign w:val="center"/>
          </w:tcPr>
          <w:p w:rsidR="007C50D0" w:rsidRPr="007C50D0" w:rsidRDefault="007C50D0" w:rsidP="008619A6">
            <w:pPr>
              <w:contextualSpacing/>
              <w:jc w:val="center"/>
              <w:rPr>
                <w:b/>
                <w:sz w:val="24"/>
                <w:szCs w:val="24"/>
              </w:rPr>
            </w:pPr>
            <w:r w:rsidRPr="007C50D0">
              <w:rPr>
                <w:b/>
                <w:sz w:val="24"/>
                <w:szCs w:val="24"/>
              </w:rPr>
              <w:t>Уголовное</w:t>
            </w:r>
          </w:p>
        </w:tc>
        <w:tc>
          <w:tcPr>
            <w:tcW w:w="1372" w:type="dxa"/>
            <w:tcBorders>
              <w:top w:val="thickThinLargeGap" w:sz="24" w:space="0" w:color="auto"/>
            </w:tcBorders>
            <w:vAlign w:val="center"/>
          </w:tcPr>
          <w:p w:rsidR="007C50D0" w:rsidRPr="007C50D0" w:rsidRDefault="007C50D0" w:rsidP="008619A6">
            <w:pPr>
              <w:contextualSpacing/>
              <w:jc w:val="center"/>
              <w:rPr>
                <w:sz w:val="24"/>
                <w:szCs w:val="24"/>
              </w:rPr>
            </w:pPr>
            <w:r w:rsidRPr="007C50D0">
              <w:rPr>
                <w:sz w:val="24"/>
                <w:szCs w:val="24"/>
              </w:rPr>
              <w:t>95,8</w:t>
            </w:r>
          </w:p>
        </w:tc>
        <w:tc>
          <w:tcPr>
            <w:tcW w:w="1276" w:type="dxa"/>
            <w:tcBorders>
              <w:top w:val="thickThinLargeGap" w:sz="24" w:space="0" w:color="auto"/>
            </w:tcBorders>
            <w:vAlign w:val="center"/>
          </w:tcPr>
          <w:p w:rsidR="007C50D0" w:rsidRPr="007C50D0" w:rsidRDefault="007C50D0" w:rsidP="008619A6">
            <w:pPr>
              <w:contextualSpacing/>
              <w:jc w:val="center"/>
              <w:rPr>
                <w:sz w:val="24"/>
                <w:szCs w:val="24"/>
              </w:rPr>
            </w:pPr>
            <w:r w:rsidRPr="007C50D0">
              <w:rPr>
                <w:sz w:val="24"/>
                <w:szCs w:val="24"/>
              </w:rPr>
              <w:t>96,2</w:t>
            </w:r>
          </w:p>
        </w:tc>
        <w:tc>
          <w:tcPr>
            <w:tcW w:w="1417" w:type="dxa"/>
            <w:tcBorders>
              <w:top w:val="thickThinLargeGap" w:sz="24" w:space="0" w:color="auto"/>
            </w:tcBorders>
            <w:vAlign w:val="center"/>
          </w:tcPr>
          <w:p w:rsidR="007C50D0" w:rsidRPr="007C50D0" w:rsidRDefault="007C50D0" w:rsidP="008619A6">
            <w:pPr>
              <w:contextualSpacing/>
              <w:jc w:val="center"/>
              <w:rPr>
                <w:sz w:val="24"/>
                <w:szCs w:val="24"/>
              </w:rPr>
            </w:pPr>
            <w:r w:rsidRPr="007C50D0">
              <w:rPr>
                <w:sz w:val="24"/>
                <w:szCs w:val="24"/>
              </w:rPr>
              <w:t>95,8</w:t>
            </w:r>
          </w:p>
        </w:tc>
        <w:tc>
          <w:tcPr>
            <w:tcW w:w="1299" w:type="dxa"/>
            <w:tcBorders>
              <w:top w:val="thickThinLargeGap" w:sz="24" w:space="0" w:color="auto"/>
            </w:tcBorders>
            <w:vAlign w:val="center"/>
          </w:tcPr>
          <w:p w:rsidR="007C50D0" w:rsidRPr="007C50D0" w:rsidRDefault="007C50D0" w:rsidP="008619A6">
            <w:pPr>
              <w:contextualSpacing/>
              <w:jc w:val="center"/>
              <w:rPr>
                <w:sz w:val="24"/>
                <w:szCs w:val="24"/>
              </w:rPr>
            </w:pPr>
            <w:r w:rsidRPr="007C50D0">
              <w:rPr>
                <w:sz w:val="24"/>
                <w:szCs w:val="24"/>
              </w:rPr>
              <w:t>95,3</w:t>
            </w:r>
          </w:p>
        </w:tc>
        <w:tc>
          <w:tcPr>
            <w:tcW w:w="1298" w:type="dxa"/>
            <w:tcBorders>
              <w:top w:val="thickThinLargeGap" w:sz="24" w:space="0" w:color="auto"/>
            </w:tcBorders>
            <w:vAlign w:val="center"/>
          </w:tcPr>
          <w:p w:rsidR="007C50D0" w:rsidRPr="007C50D0" w:rsidRDefault="007C50D0" w:rsidP="008619A6">
            <w:pPr>
              <w:contextualSpacing/>
              <w:jc w:val="center"/>
              <w:rPr>
                <w:sz w:val="24"/>
                <w:szCs w:val="24"/>
              </w:rPr>
            </w:pPr>
            <w:r w:rsidRPr="007C50D0">
              <w:rPr>
                <w:sz w:val="24"/>
                <w:szCs w:val="24"/>
              </w:rPr>
              <w:t>96,0</w:t>
            </w:r>
          </w:p>
        </w:tc>
      </w:tr>
      <w:tr w:rsidR="007C50D0" w:rsidRPr="007C50D0" w:rsidTr="007007DF">
        <w:trPr>
          <w:trHeight w:val="66"/>
        </w:trPr>
        <w:tc>
          <w:tcPr>
            <w:tcW w:w="2660" w:type="dxa"/>
            <w:vAlign w:val="center"/>
          </w:tcPr>
          <w:p w:rsidR="007C50D0" w:rsidRPr="007C50D0" w:rsidRDefault="007C50D0" w:rsidP="008619A6">
            <w:pPr>
              <w:contextualSpacing/>
              <w:jc w:val="center"/>
              <w:rPr>
                <w:b/>
                <w:sz w:val="24"/>
                <w:szCs w:val="24"/>
                <w:lang w:val="en-US"/>
              </w:rPr>
            </w:pPr>
            <w:r w:rsidRPr="007C50D0">
              <w:rPr>
                <w:b/>
                <w:sz w:val="24"/>
                <w:szCs w:val="24"/>
              </w:rPr>
              <w:t>Гражданское</w:t>
            </w:r>
          </w:p>
        </w:tc>
        <w:tc>
          <w:tcPr>
            <w:tcW w:w="1372" w:type="dxa"/>
            <w:vAlign w:val="center"/>
          </w:tcPr>
          <w:p w:rsidR="007C50D0" w:rsidRPr="007C50D0" w:rsidRDefault="007C50D0" w:rsidP="008619A6">
            <w:pPr>
              <w:contextualSpacing/>
              <w:jc w:val="center"/>
              <w:rPr>
                <w:sz w:val="24"/>
                <w:szCs w:val="24"/>
              </w:rPr>
            </w:pPr>
            <w:r w:rsidRPr="007C50D0">
              <w:rPr>
                <w:sz w:val="24"/>
                <w:szCs w:val="24"/>
              </w:rPr>
              <w:t>97,9</w:t>
            </w:r>
          </w:p>
        </w:tc>
        <w:tc>
          <w:tcPr>
            <w:tcW w:w="1276" w:type="dxa"/>
            <w:vAlign w:val="center"/>
          </w:tcPr>
          <w:p w:rsidR="007C50D0" w:rsidRPr="007C50D0" w:rsidRDefault="007C50D0" w:rsidP="008619A6">
            <w:pPr>
              <w:contextualSpacing/>
              <w:jc w:val="center"/>
              <w:rPr>
                <w:sz w:val="24"/>
                <w:szCs w:val="24"/>
              </w:rPr>
            </w:pPr>
            <w:r w:rsidRPr="007C50D0">
              <w:rPr>
                <w:sz w:val="24"/>
                <w:szCs w:val="24"/>
              </w:rPr>
              <w:t>98,0</w:t>
            </w:r>
          </w:p>
        </w:tc>
        <w:tc>
          <w:tcPr>
            <w:tcW w:w="1417" w:type="dxa"/>
            <w:vAlign w:val="center"/>
          </w:tcPr>
          <w:p w:rsidR="007C50D0" w:rsidRPr="007C50D0" w:rsidRDefault="007C50D0" w:rsidP="008619A6">
            <w:pPr>
              <w:contextualSpacing/>
              <w:jc w:val="center"/>
              <w:rPr>
                <w:sz w:val="24"/>
                <w:szCs w:val="24"/>
              </w:rPr>
            </w:pPr>
            <w:r w:rsidRPr="007C50D0">
              <w:rPr>
                <w:sz w:val="24"/>
                <w:szCs w:val="24"/>
              </w:rPr>
              <w:t>98,1</w:t>
            </w:r>
          </w:p>
        </w:tc>
        <w:tc>
          <w:tcPr>
            <w:tcW w:w="1299" w:type="dxa"/>
            <w:vAlign w:val="center"/>
          </w:tcPr>
          <w:p w:rsidR="007C50D0" w:rsidRPr="007C50D0" w:rsidRDefault="007C50D0" w:rsidP="008619A6">
            <w:pPr>
              <w:contextualSpacing/>
              <w:jc w:val="center"/>
              <w:rPr>
                <w:sz w:val="24"/>
                <w:szCs w:val="24"/>
              </w:rPr>
            </w:pPr>
            <w:r w:rsidRPr="007C50D0">
              <w:rPr>
                <w:sz w:val="24"/>
                <w:szCs w:val="24"/>
              </w:rPr>
              <w:t>97,6</w:t>
            </w:r>
          </w:p>
        </w:tc>
        <w:tc>
          <w:tcPr>
            <w:tcW w:w="1298" w:type="dxa"/>
            <w:vAlign w:val="center"/>
          </w:tcPr>
          <w:p w:rsidR="007C50D0" w:rsidRPr="007C50D0" w:rsidRDefault="007C50D0" w:rsidP="008619A6">
            <w:pPr>
              <w:contextualSpacing/>
              <w:jc w:val="center"/>
              <w:rPr>
                <w:sz w:val="24"/>
                <w:szCs w:val="24"/>
              </w:rPr>
            </w:pPr>
            <w:r w:rsidRPr="007C50D0">
              <w:rPr>
                <w:sz w:val="24"/>
                <w:szCs w:val="24"/>
              </w:rPr>
              <w:t>97,1</w:t>
            </w:r>
          </w:p>
        </w:tc>
      </w:tr>
      <w:tr w:rsidR="007C50D0" w:rsidRPr="007C50D0" w:rsidTr="007007DF">
        <w:trPr>
          <w:trHeight w:val="66"/>
        </w:trPr>
        <w:tc>
          <w:tcPr>
            <w:tcW w:w="2660" w:type="dxa"/>
            <w:vAlign w:val="center"/>
          </w:tcPr>
          <w:p w:rsidR="007C50D0" w:rsidRPr="007C50D0" w:rsidRDefault="007C50D0" w:rsidP="008619A6">
            <w:pPr>
              <w:contextualSpacing/>
              <w:jc w:val="center"/>
              <w:rPr>
                <w:b/>
                <w:sz w:val="24"/>
                <w:szCs w:val="24"/>
              </w:rPr>
            </w:pPr>
            <w:r w:rsidRPr="007C50D0">
              <w:rPr>
                <w:b/>
                <w:sz w:val="24"/>
                <w:szCs w:val="24"/>
              </w:rPr>
              <w:t>Административное</w:t>
            </w:r>
          </w:p>
        </w:tc>
        <w:tc>
          <w:tcPr>
            <w:tcW w:w="1372" w:type="dxa"/>
            <w:vAlign w:val="center"/>
          </w:tcPr>
          <w:p w:rsidR="007C50D0" w:rsidRPr="007C50D0" w:rsidRDefault="007C50D0" w:rsidP="008619A6">
            <w:pPr>
              <w:contextualSpacing/>
              <w:jc w:val="center"/>
              <w:rPr>
                <w:sz w:val="24"/>
                <w:szCs w:val="24"/>
              </w:rPr>
            </w:pPr>
          </w:p>
        </w:tc>
        <w:tc>
          <w:tcPr>
            <w:tcW w:w="1276" w:type="dxa"/>
            <w:vAlign w:val="center"/>
          </w:tcPr>
          <w:p w:rsidR="007C50D0" w:rsidRPr="007C50D0" w:rsidRDefault="007C50D0" w:rsidP="008619A6">
            <w:pPr>
              <w:contextualSpacing/>
              <w:jc w:val="center"/>
              <w:rPr>
                <w:sz w:val="24"/>
                <w:szCs w:val="24"/>
              </w:rPr>
            </w:pPr>
          </w:p>
        </w:tc>
        <w:tc>
          <w:tcPr>
            <w:tcW w:w="1417" w:type="dxa"/>
            <w:vAlign w:val="center"/>
          </w:tcPr>
          <w:p w:rsidR="007C50D0" w:rsidRPr="007C50D0" w:rsidRDefault="007C50D0" w:rsidP="008619A6">
            <w:pPr>
              <w:contextualSpacing/>
              <w:jc w:val="center"/>
              <w:rPr>
                <w:sz w:val="24"/>
                <w:szCs w:val="24"/>
              </w:rPr>
            </w:pPr>
          </w:p>
        </w:tc>
        <w:tc>
          <w:tcPr>
            <w:tcW w:w="1299" w:type="dxa"/>
            <w:vAlign w:val="center"/>
          </w:tcPr>
          <w:p w:rsidR="007C50D0" w:rsidRPr="007C50D0" w:rsidRDefault="007C50D0" w:rsidP="008619A6">
            <w:pPr>
              <w:contextualSpacing/>
              <w:jc w:val="center"/>
              <w:rPr>
                <w:sz w:val="24"/>
                <w:szCs w:val="24"/>
              </w:rPr>
            </w:pPr>
          </w:p>
        </w:tc>
        <w:tc>
          <w:tcPr>
            <w:tcW w:w="1298" w:type="dxa"/>
            <w:vAlign w:val="center"/>
          </w:tcPr>
          <w:p w:rsidR="007C50D0" w:rsidRPr="007C50D0" w:rsidRDefault="007C50D0" w:rsidP="008619A6">
            <w:pPr>
              <w:contextualSpacing/>
              <w:jc w:val="center"/>
              <w:rPr>
                <w:sz w:val="24"/>
                <w:szCs w:val="24"/>
              </w:rPr>
            </w:pPr>
            <w:r w:rsidRPr="007C50D0">
              <w:rPr>
                <w:sz w:val="24"/>
                <w:szCs w:val="24"/>
              </w:rPr>
              <w:t>96,7</w:t>
            </w:r>
          </w:p>
        </w:tc>
      </w:tr>
    </w:tbl>
    <w:p w:rsidR="007C50D0" w:rsidRPr="007C50D0" w:rsidRDefault="007C50D0" w:rsidP="008619A6">
      <w:pPr>
        <w:ind w:firstLine="900"/>
        <w:contextualSpacing/>
        <w:jc w:val="both"/>
        <w:rPr>
          <w:sz w:val="28"/>
          <w:szCs w:val="28"/>
        </w:rPr>
      </w:pPr>
      <w:r w:rsidRPr="007C50D0">
        <w:rPr>
          <w:sz w:val="24"/>
          <w:szCs w:val="24"/>
        </w:rPr>
        <w:t xml:space="preserve">                                                                                                          Таблица </w:t>
      </w:r>
      <w:r w:rsidR="00C02904">
        <w:rPr>
          <w:sz w:val="24"/>
          <w:szCs w:val="24"/>
        </w:rPr>
        <w:t>1</w:t>
      </w:r>
      <w:r w:rsidRPr="007C50D0">
        <w:rPr>
          <w:sz w:val="24"/>
          <w:szCs w:val="24"/>
        </w:rPr>
        <w:t>6.1</w:t>
      </w:r>
    </w:p>
    <w:p w:rsidR="007C50D0" w:rsidRPr="007C50D0" w:rsidRDefault="007C50D0" w:rsidP="008619A6">
      <w:pPr>
        <w:ind w:firstLine="567"/>
        <w:contextualSpacing/>
        <w:jc w:val="both"/>
        <w:rPr>
          <w:sz w:val="28"/>
          <w:szCs w:val="28"/>
        </w:rPr>
      </w:pPr>
      <w:r w:rsidRPr="007C50D0">
        <w:rPr>
          <w:sz w:val="28"/>
          <w:szCs w:val="28"/>
        </w:rPr>
        <w:t>Статистические данные демонстрируют сохраняющийся в течение последних пяти лет достаточно высокий уровень данного показателя, как в уголовном, так и в гражданском производстве. Качество рассмотрения административных дел достаточно высоко и составляет 96,7%.</w:t>
      </w:r>
    </w:p>
    <w:p w:rsidR="007C50D0" w:rsidRDefault="007C50D0" w:rsidP="008619A6">
      <w:pPr>
        <w:ind w:firstLine="567"/>
        <w:contextualSpacing/>
        <w:jc w:val="both"/>
        <w:rPr>
          <w:sz w:val="22"/>
          <w:szCs w:val="22"/>
        </w:rPr>
      </w:pPr>
      <w:r w:rsidRPr="007C50D0">
        <w:rPr>
          <w:sz w:val="22"/>
          <w:szCs w:val="22"/>
        </w:rPr>
        <w:t xml:space="preserve">                                                                                                                                           График 4.1</w:t>
      </w:r>
    </w:p>
    <w:p w:rsidR="00A64F9C" w:rsidRPr="007C50D0" w:rsidRDefault="00A64F9C" w:rsidP="008619A6">
      <w:pPr>
        <w:ind w:firstLine="567"/>
        <w:contextualSpacing/>
        <w:jc w:val="both"/>
        <w:rPr>
          <w:sz w:val="22"/>
          <w:szCs w:val="22"/>
        </w:rPr>
      </w:pPr>
      <w:r>
        <w:rPr>
          <w:noProof/>
        </w:rPr>
        <w:drawing>
          <wp:inline distT="0" distB="0" distL="0" distR="0" wp14:anchorId="487AEF28" wp14:editId="1F9FBD70">
            <wp:extent cx="5511113" cy="2553729"/>
            <wp:effectExtent l="0" t="0" r="13970" b="18415"/>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C50D0" w:rsidRPr="005954B9" w:rsidRDefault="007C50D0" w:rsidP="008619A6">
      <w:pPr>
        <w:ind w:firstLine="567"/>
        <w:contextualSpacing/>
        <w:jc w:val="both"/>
        <w:rPr>
          <w:sz w:val="22"/>
          <w:szCs w:val="22"/>
        </w:rPr>
      </w:pPr>
    </w:p>
    <w:p w:rsidR="007C50D0" w:rsidRPr="007C50D0" w:rsidRDefault="007C50D0" w:rsidP="008619A6">
      <w:pPr>
        <w:ind w:firstLine="567"/>
        <w:contextualSpacing/>
        <w:jc w:val="both"/>
        <w:rPr>
          <w:sz w:val="28"/>
          <w:szCs w:val="28"/>
        </w:rPr>
      </w:pPr>
      <w:r w:rsidRPr="007C50D0">
        <w:rPr>
          <w:sz w:val="28"/>
          <w:szCs w:val="28"/>
        </w:rPr>
        <w:t>Однако график наглядно демонстрирует на протяжении последних пяти лет тренд на снижение значения данного показателя при рассмотрении гражданских дел. Качество рассмотрения уголовных дел на этом же интервале наблюдения имеет тенденцию роста.</w:t>
      </w:r>
    </w:p>
    <w:p w:rsidR="007C50D0" w:rsidRPr="007C50D0" w:rsidRDefault="007C50D0" w:rsidP="008619A6">
      <w:pPr>
        <w:ind w:firstLine="567"/>
        <w:contextualSpacing/>
        <w:jc w:val="both"/>
        <w:rPr>
          <w:b/>
          <w:sz w:val="28"/>
          <w:szCs w:val="28"/>
          <w:u w:val="single"/>
        </w:rPr>
      </w:pPr>
      <w:r w:rsidRPr="007C50D0">
        <w:rPr>
          <w:b/>
          <w:sz w:val="28"/>
          <w:szCs w:val="28"/>
          <w:u w:val="single"/>
        </w:rPr>
        <w:t>Уголовное судопроизводство</w:t>
      </w:r>
    </w:p>
    <w:p w:rsidR="007C50D0" w:rsidRPr="007C50D0" w:rsidRDefault="007C50D0" w:rsidP="008619A6">
      <w:pPr>
        <w:ind w:firstLine="567"/>
        <w:contextualSpacing/>
        <w:jc w:val="both"/>
        <w:rPr>
          <w:sz w:val="28"/>
          <w:szCs w:val="28"/>
        </w:rPr>
      </w:pPr>
      <w:r w:rsidRPr="007C50D0">
        <w:rPr>
          <w:sz w:val="28"/>
          <w:szCs w:val="28"/>
        </w:rPr>
        <w:t>Наибольшее количество уголовных дел, как и в прошлом году, рассмотрено судами о преступлениях, предусмотренных следующими статьями Уголовного кодекса Российской Федерации:</w:t>
      </w:r>
    </w:p>
    <w:p w:rsidR="007C50D0" w:rsidRPr="007C50D0" w:rsidRDefault="007C50D0" w:rsidP="00335DC8">
      <w:pPr>
        <w:numPr>
          <w:ilvl w:val="0"/>
          <w:numId w:val="8"/>
        </w:numPr>
        <w:ind w:hanging="357"/>
        <w:contextualSpacing/>
        <w:jc w:val="both"/>
        <w:rPr>
          <w:sz w:val="28"/>
          <w:szCs w:val="28"/>
        </w:rPr>
      </w:pPr>
      <w:r w:rsidRPr="007C50D0">
        <w:rPr>
          <w:sz w:val="28"/>
          <w:szCs w:val="28"/>
        </w:rPr>
        <w:t>кража (ст.158) – 3521 дело, что составляет 31,6% от общего количества рассмотренных дел;</w:t>
      </w:r>
    </w:p>
    <w:p w:rsidR="007C50D0" w:rsidRPr="007C50D0" w:rsidRDefault="007C50D0" w:rsidP="00335DC8">
      <w:pPr>
        <w:numPr>
          <w:ilvl w:val="0"/>
          <w:numId w:val="8"/>
        </w:numPr>
        <w:ind w:hanging="357"/>
        <w:contextualSpacing/>
        <w:jc w:val="both"/>
        <w:rPr>
          <w:sz w:val="28"/>
          <w:szCs w:val="28"/>
        </w:rPr>
      </w:pPr>
      <w:r w:rsidRPr="007C50D0">
        <w:rPr>
          <w:sz w:val="28"/>
          <w:szCs w:val="28"/>
        </w:rPr>
        <w:t>незаконные действия с наркотическими средствами (ст.228-233) – 1808 дел, или 16,2%;</w:t>
      </w:r>
    </w:p>
    <w:p w:rsidR="007C50D0" w:rsidRPr="007C50D0" w:rsidRDefault="007C50D0" w:rsidP="00335DC8">
      <w:pPr>
        <w:numPr>
          <w:ilvl w:val="0"/>
          <w:numId w:val="8"/>
        </w:numPr>
        <w:ind w:hanging="357"/>
        <w:contextualSpacing/>
        <w:jc w:val="both"/>
        <w:rPr>
          <w:sz w:val="28"/>
          <w:szCs w:val="28"/>
        </w:rPr>
      </w:pPr>
      <w:r w:rsidRPr="007C50D0">
        <w:rPr>
          <w:sz w:val="28"/>
          <w:szCs w:val="28"/>
        </w:rPr>
        <w:t>неправомерное завладение транспортным средством (ст. 166) и нарушение правил безопасности движения (ст. 263-271) – 824 дел, или 7,4%;</w:t>
      </w:r>
    </w:p>
    <w:p w:rsidR="007C50D0" w:rsidRPr="007C50D0" w:rsidRDefault="007C50D0" w:rsidP="00335DC8">
      <w:pPr>
        <w:numPr>
          <w:ilvl w:val="0"/>
          <w:numId w:val="8"/>
        </w:numPr>
        <w:ind w:hanging="357"/>
        <w:contextualSpacing/>
        <w:jc w:val="both"/>
        <w:rPr>
          <w:sz w:val="28"/>
          <w:szCs w:val="28"/>
        </w:rPr>
      </w:pPr>
      <w:r w:rsidRPr="007C50D0">
        <w:rPr>
          <w:sz w:val="28"/>
          <w:szCs w:val="28"/>
        </w:rPr>
        <w:t>грабеж (ст.161) –</w:t>
      </w:r>
      <w:r w:rsidRPr="007C50D0">
        <w:rPr>
          <w:sz w:val="28"/>
          <w:szCs w:val="28"/>
          <w:lang w:val="en-US"/>
        </w:rPr>
        <w:t xml:space="preserve"> </w:t>
      </w:r>
      <w:r w:rsidRPr="007C50D0">
        <w:rPr>
          <w:sz w:val="28"/>
          <w:szCs w:val="28"/>
        </w:rPr>
        <w:t>765 дел, или 6,9%.</w:t>
      </w:r>
    </w:p>
    <w:p w:rsidR="007C50D0" w:rsidRPr="007C50D0" w:rsidRDefault="007C50D0" w:rsidP="008619A6">
      <w:pPr>
        <w:ind w:firstLine="567"/>
        <w:contextualSpacing/>
        <w:jc w:val="both"/>
        <w:rPr>
          <w:sz w:val="28"/>
          <w:szCs w:val="28"/>
        </w:rPr>
      </w:pPr>
      <w:r w:rsidRPr="007C50D0">
        <w:rPr>
          <w:sz w:val="28"/>
          <w:szCs w:val="28"/>
        </w:rPr>
        <w:lastRenderedPageBreak/>
        <w:t>Наиболее часто такие дела в 2016 году рассматривались следующими судами Республики Татарстан (см. Таблицу 7).</w:t>
      </w:r>
    </w:p>
    <w:p w:rsidR="007C50D0" w:rsidRPr="007C50D0" w:rsidRDefault="007C50D0" w:rsidP="008619A6">
      <w:pPr>
        <w:ind w:firstLine="900"/>
        <w:contextualSpacing/>
        <w:jc w:val="both"/>
        <w:rPr>
          <w:sz w:val="24"/>
          <w:szCs w:val="24"/>
        </w:rPr>
      </w:pPr>
      <w:r w:rsidRPr="007C50D0">
        <w:rPr>
          <w:sz w:val="24"/>
          <w:szCs w:val="24"/>
        </w:rPr>
        <w:t xml:space="preserve">                                                                                                                         Таблица </w:t>
      </w:r>
      <w:r w:rsidR="00C02904">
        <w:rPr>
          <w:sz w:val="24"/>
          <w:szCs w:val="24"/>
        </w:rPr>
        <w:t>1</w:t>
      </w:r>
      <w:r w:rsidRPr="007C50D0">
        <w:rPr>
          <w:sz w:val="24"/>
          <w:szCs w:val="24"/>
        </w:rPr>
        <w:t>7</w:t>
      </w:r>
    </w:p>
    <w:tbl>
      <w:tblPr>
        <w:tblW w:w="9383" w:type="dxa"/>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433"/>
        <w:gridCol w:w="1610"/>
        <w:gridCol w:w="545"/>
        <w:gridCol w:w="1768"/>
        <w:gridCol w:w="588"/>
        <w:gridCol w:w="1550"/>
        <w:gridCol w:w="850"/>
        <w:gridCol w:w="1518"/>
        <w:gridCol w:w="521"/>
      </w:tblGrid>
      <w:tr w:rsidR="007C50D0" w:rsidRPr="007C50D0" w:rsidTr="007007DF">
        <w:trPr>
          <w:trHeight w:val="617"/>
          <w:jc w:val="center"/>
        </w:trPr>
        <w:tc>
          <w:tcPr>
            <w:tcW w:w="433" w:type="dxa"/>
            <w:tcBorders>
              <w:top w:val="double" w:sz="4" w:space="0" w:color="auto"/>
              <w:bottom w:val="thickThinLargeGap" w:sz="24" w:space="0" w:color="auto"/>
              <w:right w:val="single" w:sz="4" w:space="0" w:color="auto"/>
            </w:tcBorders>
            <w:shd w:val="clear" w:color="auto" w:fill="auto"/>
            <w:noWrap/>
            <w:vAlign w:val="center"/>
          </w:tcPr>
          <w:p w:rsidR="007C50D0" w:rsidRPr="007C50D0" w:rsidRDefault="007C50D0" w:rsidP="008619A6">
            <w:pPr>
              <w:contextualSpacing/>
              <w:jc w:val="center"/>
              <w:rPr>
                <w:b/>
              </w:rPr>
            </w:pPr>
            <w:r w:rsidRPr="007C50D0">
              <w:rPr>
                <w:b/>
              </w:rPr>
              <w:t>№</w:t>
            </w:r>
            <w:proofErr w:type="spellStart"/>
            <w:r w:rsidRPr="007C50D0">
              <w:rPr>
                <w:b/>
              </w:rPr>
              <w:t>п.п</w:t>
            </w:r>
            <w:proofErr w:type="spellEnd"/>
            <w:r w:rsidRPr="007C50D0">
              <w:rPr>
                <w:b/>
              </w:rPr>
              <w:t>.</w:t>
            </w:r>
          </w:p>
        </w:tc>
        <w:tc>
          <w:tcPr>
            <w:tcW w:w="1610" w:type="dxa"/>
            <w:tcBorders>
              <w:top w:val="doub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rPr>
            </w:pPr>
            <w:r w:rsidRPr="007C50D0">
              <w:rPr>
                <w:b/>
              </w:rPr>
              <w:t>Наименование суда</w:t>
            </w:r>
          </w:p>
        </w:tc>
        <w:tc>
          <w:tcPr>
            <w:tcW w:w="545" w:type="dxa"/>
            <w:tcBorders>
              <w:top w:val="double" w:sz="4" w:space="0" w:color="auto"/>
              <w:left w:val="single" w:sz="4" w:space="0" w:color="auto"/>
              <w:bottom w:val="thickThinLargeGap" w:sz="24" w:space="0" w:color="auto"/>
              <w:right w:val="double" w:sz="4" w:space="0" w:color="auto"/>
            </w:tcBorders>
            <w:shd w:val="clear" w:color="auto" w:fill="auto"/>
            <w:noWrap/>
            <w:vAlign w:val="center"/>
          </w:tcPr>
          <w:p w:rsidR="007C50D0" w:rsidRPr="007C50D0" w:rsidRDefault="007C50D0" w:rsidP="008619A6">
            <w:pPr>
              <w:contextualSpacing/>
              <w:jc w:val="center"/>
              <w:rPr>
                <w:b/>
              </w:rPr>
            </w:pPr>
            <w:r w:rsidRPr="007C50D0">
              <w:rPr>
                <w:b/>
              </w:rPr>
              <w:t>Ст. 158</w:t>
            </w:r>
          </w:p>
        </w:tc>
        <w:tc>
          <w:tcPr>
            <w:tcW w:w="1768" w:type="dxa"/>
            <w:tcBorders>
              <w:top w:val="double" w:sz="4" w:space="0" w:color="auto"/>
              <w:left w:val="doub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rPr>
            </w:pPr>
            <w:r w:rsidRPr="007C50D0">
              <w:rPr>
                <w:b/>
              </w:rPr>
              <w:t>Наименование суда</w:t>
            </w:r>
          </w:p>
        </w:tc>
        <w:tc>
          <w:tcPr>
            <w:tcW w:w="588" w:type="dxa"/>
            <w:tcBorders>
              <w:top w:val="double" w:sz="4" w:space="0" w:color="auto"/>
              <w:left w:val="single" w:sz="4" w:space="0" w:color="auto"/>
              <w:bottom w:val="thickThinLargeGap" w:sz="24" w:space="0" w:color="auto"/>
              <w:right w:val="double" w:sz="4" w:space="0" w:color="auto"/>
            </w:tcBorders>
            <w:shd w:val="clear" w:color="auto" w:fill="auto"/>
            <w:noWrap/>
            <w:vAlign w:val="center"/>
          </w:tcPr>
          <w:p w:rsidR="007C50D0" w:rsidRPr="007C50D0" w:rsidRDefault="007C50D0" w:rsidP="008619A6">
            <w:pPr>
              <w:contextualSpacing/>
              <w:jc w:val="center"/>
              <w:rPr>
                <w:b/>
              </w:rPr>
            </w:pPr>
            <w:r w:rsidRPr="007C50D0">
              <w:rPr>
                <w:b/>
              </w:rPr>
              <w:t>Ст. 228-233</w:t>
            </w:r>
          </w:p>
        </w:tc>
        <w:tc>
          <w:tcPr>
            <w:tcW w:w="1550" w:type="dxa"/>
            <w:tcBorders>
              <w:top w:val="double" w:sz="4" w:space="0" w:color="auto"/>
              <w:left w:val="doub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rPr>
            </w:pPr>
            <w:r w:rsidRPr="007C50D0">
              <w:rPr>
                <w:b/>
              </w:rPr>
              <w:t>Наименование суда</w:t>
            </w:r>
          </w:p>
        </w:tc>
        <w:tc>
          <w:tcPr>
            <w:tcW w:w="850" w:type="dxa"/>
            <w:tcBorders>
              <w:top w:val="double" w:sz="4" w:space="0" w:color="auto"/>
              <w:left w:val="single" w:sz="4" w:space="0" w:color="auto"/>
              <w:bottom w:val="thickThinLargeGap" w:sz="24" w:space="0" w:color="auto"/>
              <w:right w:val="double" w:sz="4" w:space="0" w:color="auto"/>
            </w:tcBorders>
            <w:shd w:val="clear" w:color="auto" w:fill="auto"/>
            <w:noWrap/>
            <w:vAlign w:val="center"/>
          </w:tcPr>
          <w:p w:rsidR="007C50D0" w:rsidRPr="007C50D0" w:rsidRDefault="007C50D0" w:rsidP="008619A6">
            <w:pPr>
              <w:contextualSpacing/>
              <w:jc w:val="center"/>
              <w:rPr>
                <w:b/>
              </w:rPr>
            </w:pPr>
            <w:r w:rsidRPr="007C50D0">
              <w:rPr>
                <w:b/>
              </w:rPr>
              <w:t>Ст. 166,263-271</w:t>
            </w:r>
          </w:p>
        </w:tc>
        <w:tc>
          <w:tcPr>
            <w:tcW w:w="1518" w:type="dxa"/>
            <w:tcBorders>
              <w:top w:val="double" w:sz="4" w:space="0" w:color="auto"/>
              <w:left w:val="doub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rPr>
            </w:pPr>
            <w:r w:rsidRPr="007C50D0">
              <w:rPr>
                <w:b/>
              </w:rPr>
              <w:t>Наименование суда</w:t>
            </w:r>
          </w:p>
        </w:tc>
        <w:tc>
          <w:tcPr>
            <w:tcW w:w="521" w:type="dxa"/>
            <w:tcBorders>
              <w:top w:val="double" w:sz="4" w:space="0" w:color="auto"/>
              <w:left w:val="single" w:sz="4" w:space="0" w:color="auto"/>
              <w:bottom w:val="thickThinLargeGap" w:sz="24" w:space="0" w:color="auto"/>
            </w:tcBorders>
            <w:shd w:val="clear" w:color="auto" w:fill="auto"/>
            <w:noWrap/>
            <w:vAlign w:val="center"/>
          </w:tcPr>
          <w:p w:rsidR="007C50D0" w:rsidRPr="007C50D0" w:rsidRDefault="007C50D0" w:rsidP="008619A6">
            <w:pPr>
              <w:contextualSpacing/>
              <w:jc w:val="center"/>
              <w:rPr>
                <w:b/>
              </w:rPr>
            </w:pPr>
            <w:r w:rsidRPr="007C50D0">
              <w:rPr>
                <w:b/>
              </w:rPr>
              <w:t>Ст. 161</w:t>
            </w:r>
          </w:p>
        </w:tc>
      </w:tr>
      <w:tr w:rsidR="007C50D0" w:rsidRPr="007C50D0" w:rsidTr="007007DF">
        <w:trPr>
          <w:trHeight w:val="450"/>
          <w:jc w:val="center"/>
        </w:trPr>
        <w:tc>
          <w:tcPr>
            <w:tcW w:w="433" w:type="dxa"/>
            <w:tcBorders>
              <w:top w:val="thickThinLargeGap" w:sz="24"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rPr>
            </w:pPr>
            <w:r w:rsidRPr="007C50D0">
              <w:rPr>
                <w:b/>
              </w:rPr>
              <w:t>1</w:t>
            </w:r>
          </w:p>
        </w:tc>
        <w:tc>
          <w:tcPr>
            <w:tcW w:w="1610" w:type="dxa"/>
            <w:tcBorders>
              <w:top w:val="thickThinLargeGap" w:sz="2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pPr>
            <w:proofErr w:type="spellStart"/>
            <w:r w:rsidRPr="007C50D0">
              <w:t>Набережночелнинский</w:t>
            </w:r>
            <w:proofErr w:type="spellEnd"/>
          </w:p>
        </w:tc>
        <w:tc>
          <w:tcPr>
            <w:tcW w:w="545" w:type="dxa"/>
            <w:tcBorders>
              <w:top w:val="thickThinLargeGap" w:sz="2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494</w:t>
            </w:r>
          </w:p>
        </w:tc>
        <w:tc>
          <w:tcPr>
            <w:tcW w:w="1768" w:type="dxa"/>
            <w:tcBorders>
              <w:top w:val="thickThinLargeGap" w:sz="2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Набережночелнинский</w:t>
            </w:r>
            <w:proofErr w:type="spellEnd"/>
          </w:p>
        </w:tc>
        <w:tc>
          <w:tcPr>
            <w:tcW w:w="588" w:type="dxa"/>
            <w:tcBorders>
              <w:top w:val="thickThinLargeGap" w:sz="2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264</w:t>
            </w:r>
          </w:p>
        </w:tc>
        <w:tc>
          <w:tcPr>
            <w:tcW w:w="1550" w:type="dxa"/>
            <w:tcBorders>
              <w:top w:val="thickThinLargeGap" w:sz="2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Набережночелнинский</w:t>
            </w:r>
            <w:proofErr w:type="spellEnd"/>
          </w:p>
        </w:tc>
        <w:tc>
          <w:tcPr>
            <w:tcW w:w="850" w:type="dxa"/>
            <w:tcBorders>
              <w:top w:val="thickThinLargeGap" w:sz="2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82</w:t>
            </w:r>
          </w:p>
        </w:tc>
        <w:tc>
          <w:tcPr>
            <w:tcW w:w="1518" w:type="dxa"/>
            <w:tcBorders>
              <w:top w:val="thickThinLargeGap" w:sz="2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Набережночелнинский</w:t>
            </w:r>
            <w:proofErr w:type="spellEnd"/>
          </w:p>
        </w:tc>
        <w:tc>
          <w:tcPr>
            <w:tcW w:w="521" w:type="dxa"/>
            <w:tcBorders>
              <w:top w:val="thickThinLargeGap" w:sz="24" w:space="0" w:color="auto"/>
              <w:left w:val="single" w:sz="4" w:space="0" w:color="auto"/>
              <w:bottom w:val="single" w:sz="4" w:space="0" w:color="auto"/>
            </w:tcBorders>
            <w:shd w:val="clear" w:color="auto" w:fill="auto"/>
            <w:noWrap/>
            <w:vAlign w:val="center"/>
          </w:tcPr>
          <w:p w:rsidR="007C50D0" w:rsidRPr="007C50D0" w:rsidRDefault="007C50D0" w:rsidP="008619A6">
            <w:pPr>
              <w:contextualSpacing/>
              <w:jc w:val="center"/>
              <w:rPr>
                <w:i/>
              </w:rPr>
            </w:pPr>
            <w:r w:rsidRPr="007C50D0">
              <w:rPr>
                <w:i/>
              </w:rPr>
              <w:t>164</w:t>
            </w:r>
          </w:p>
        </w:tc>
      </w:tr>
      <w:tr w:rsidR="007C50D0" w:rsidRPr="007C50D0" w:rsidTr="007007DF">
        <w:trPr>
          <w:trHeight w:val="189"/>
          <w:jc w:val="center"/>
        </w:trPr>
        <w:tc>
          <w:tcPr>
            <w:tcW w:w="433" w:type="dxa"/>
            <w:tcBorders>
              <w:top w:val="single" w:sz="4"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rPr>
            </w:pPr>
            <w:r w:rsidRPr="007C50D0">
              <w:rPr>
                <w:b/>
              </w:rPr>
              <w:t>2</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pPr>
            <w:r w:rsidRPr="007C50D0">
              <w:t>Советский</w:t>
            </w:r>
          </w:p>
        </w:tc>
        <w:tc>
          <w:tcPr>
            <w:tcW w:w="545"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268</w:t>
            </w:r>
          </w:p>
        </w:tc>
        <w:tc>
          <w:tcPr>
            <w:tcW w:w="176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Альметьевский</w:t>
            </w:r>
            <w:proofErr w:type="spellEnd"/>
          </w:p>
        </w:tc>
        <w:tc>
          <w:tcPr>
            <w:tcW w:w="588"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172</w:t>
            </w:r>
          </w:p>
        </w:tc>
        <w:tc>
          <w:tcPr>
            <w:tcW w:w="1550"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Советский</w:t>
            </w:r>
          </w:p>
        </w:tc>
        <w:tc>
          <w:tcPr>
            <w:tcW w:w="850"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60</w:t>
            </w:r>
          </w:p>
        </w:tc>
        <w:tc>
          <w:tcPr>
            <w:tcW w:w="151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Советский</w:t>
            </w:r>
          </w:p>
        </w:tc>
        <w:tc>
          <w:tcPr>
            <w:tcW w:w="521" w:type="dxa"/>
            <w:tcBorders>
              <w:top w:val="single" w:sz="4" w:space="0" w:color="auto"/>
              <w:left w:val="single" w:sz="4" w:space="0" w:color="auto"/>
              <w:bottom w:val="single" w:sz="4" w:space="0" w:color="auto"/>
            </w:tcBorders>
            <w:shd w:val="clear" w:color="auto" w:fill="auto"/>
            <w:noWrap/>
            <w:vAlign w:val="center"/>
          </w:tcPr>
          <w:p w:rsidR="007C50D0" w:rsidRPr="007C50D0" w:rsidRDefault="007C50D0" w:rsidP="008619A6">
            <w:pPr>
              <w:contextualSpacing/>
              <w:jc w:val="center"/>
              <w:rPr>
                <w:i/>
              </w:rPr>
            </w:pPr>
            <w:r w:rsidRPr="007C50D0">
              <w:rPr>
                <w:i/>
              </w:rPr>
              <w:t>61</w:t>
            </w:r>
          </w:p>
        </w:tc>
      </w:tr>
      <w:tr w:rsidR="007C50D0" w:rsidRPr="007C50D0" w:rsidTr="007007DF">
        <w:trPr>
          <w:trHeight w:val="80"/>
          <w:jc w:val="center"/>
        </w:trPr>
        <w:tc>
          <w:tcPr>
            <w:tcW w:w="433" w:type="dxa"/>
            <w:tcBorders>
              <w:top w:val="single" w:sz="4"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rPr>
            </w:pPr>
            <w:r w:rsidRPr="007C50D0">
              <w:rPr>
                <w:b/>
              </w:rPr>
              <w:t>3</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pPr>
            <w:r w:rsidRPr="007C50D0">
              <w:t>Приволжский</w:t>
            </w:r>
          </w:p>
        </w:tc>
        <w:tc>
          <w:tcPr>
            <w:tcW w:w="545"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243</w:t>
            </w:r>
          </w:p>
        </w:tc>
        <w:tc>
          <w:tcPr>
            <w:tcW w:w="176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Советский</w:t>
            </w:r>
          </w:p>
        </w:tc>
        <w:tc>
          <w:tcPr>
            <w:tcW w:w="588"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150</w:t>
            </w:r>
          </w:p>
        </w:tc>
        <w:tc>
          <w:tcPr>
            <w:tcW w:w="1550"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Приволжский</w:t>
            </w:r>
          </w:p>
        </w:tc>
        <w:tc>
          <w:tcPr>
            <w:tcW w:w="850"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47</w:t>
            </w:r>
          </w:p>
        </w:tc>
        <w:tc>
          <w:tcPr>
            <w:tcW w:w="151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Приволжский</w:t>
            </w:r>
          </w:p>
        </w:tc>
        <w:tc>
          <w:tcPr>
            <w:tcW w:w="521" w:type="dxa"/>
            <w:tcBorders>
              <w:top w:val="single" w:sz="4" w:space="0" w:color="auto"/>
              <w:left w:val="single" w:sz="4" w:space="0" w:color="auto"/>
              <w:bottom w:val="single" w:sz="4" w:space="0" w:color="auto"/>
            </w:tcBorders>
            <w:shd w:val="clear" w:color="auto" w:fill="auto"/>
            <w:noWrap/>
            <w:vAlign w:val="center"/>
          </w:tcPr>
          <w:p w:rsidR="007C50D0" w:rsidRPr="007C50D0" w:rsidRDefault="007C50D0" w:rsidP="008619A6">
            <w:pPr>
              <w:contextualSpacing/>
              <w:jc w:val="center"/>
              <w:rPr>
                <w:i/>
              </w:rPr>
            </w:pPr>
            <w:r w:rsidRPr="007C50D0">
              <w:rPr>
                <w:i/>
              </w:rPr>
              <w:t>58</w:t>
            </w:r>
          </w:p>
        </w:tc>
      </w:tr>
      <w:tr w:rsidR="007C50D0" w:rsidRPr="007C50D0" w:rsidTr="007007DF">
        <w:trPr>
          <w:trHeight w:val="139"/>
          <w:jc w:val="center"/>
        </w:trPr>
        <w:tc>
          <w:tcPr>
            <w:tcW w:w="433" w:type="dxa"/>
            <w:tcBorders>
              <w:top w:val="single" w:sz="4"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rPr>
            </w:pPr>
            <w:r w:rsidRPr="007C50D0">
              <w:rPr>
                <w:b/>
              </w:rPr>
              <w:t>4</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pPr>
            <w:r w:rsidRPr="007C50D0">
              <w:t>Нижнекамский</w:t>
            </w:r>
          </w:p>
        </w:tc>
        <w:tc>
          <w:tcPr>
            <w:tcW w:w="545"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233</w:t>
            </w:r>
          </w:p>
        </w:tc>
        <w:tc>
          <w:tcPr>
            <w:tcW w:w="176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Бугульминский</w:t>
            </w:r>
            <w:proofErr w:type="spellEnd"/>
          </w:p>
        </w:tc>
        <w:tc>
          <w:tcPr>
            <w:tcW w:w="588"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135</w:t>
            </w:r>
          </w:p>
        </w:tc>
        <w:tc>
          <w:tcPr>
            <w:tcW w:w="1550"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Нижнекамский</w:t>
            </w:r>
          </w:p>
        </w:tc>
        <w:tc>
          <w:tcPr>
            <w:tcW w:w="850"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45</w:t>
            </w:r>
          </w:p>
        </w:tc>
        <w:tc>
          <w:tcPr>
            <w:tcW w:w="151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Московский</w:t>
            </w:r>
          </w:p>
        </w:tc>
        <w:tc>
          <w:tcPr>
            <w:tcW w:w="521" w:type="dxa"/>
            <w:tcBorders>
              <w:top w:val="single" w:sz="4" w:space="0" w:color="auto"/>
              <w:left w:val="single" w:sz="4" w:space="0" w:color="auto"/>
              <w:bottom w:val="single" w:sz="4" w:space="0" w:color="auto"/>
            </w:tcBorders>
            <w:shd w:val="clear" w:color="auto" w:fill="auto"/>
            <w:noWrap/>
            <w:vAlign w:val="center"/>
          </w:tcPr>
          <w:p w:rsidR="007C50D0" w:rsidRPr="007C50D0" w:rsidRDefault="007C50D0" w:rsidP="008619A6">
            <w:pPr>
              <w:contextualSpacing/>
              <w:jc w:val="center"/>
              <w:rPr>
                <w:i/>
              </w:rPr>
            </w:pPr>
            <w:r w:rsidRPr="007C50D0">
              <w:rPr>
                <w:i/>
              </w:rPr>
              <w:t>50</w:t>
            </w:r>
          </w:p>
        </w:tc>
      </w:tr>
      <w:tr w:rsidR="007C50D0" w:rsidRPr="007C50D0" w:rsidTr="007007DF">
        <w:trPr>
          <w:trHeight w:val="62"/>
          <w:jc w:val="center"/>
        </w:trPr>
        <w:tc>
          <w:tcPr>
            <w:tcW w:w="433" w:type="dxa"/>
            <w:tcBorders>
              <w:top w:val="single" w:sz="4"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rPr>
            </w:pPr>
            <w:r w:rsidRPr="007C50D0">
              <w:rPr>
                <w:b/>
              </w:rPr>
              <w:t>5</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pPr>
            <w:r w:rsidRPr="007C50D0">
              <w:t>Ново-Савиновский</w:t>
            </w:r>
          </w:p>
        </w:tc>
        <w:tc>
          <w:tcPr>
            <w:tcW w:w="545"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219</w:t>
            </w:r>
          </w:p>
        </w:tc>
        <w:tc>
          <w:tcPr>
            <w:tcW w:w="176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Нижнекамский</w:t>
            </w:r>
          </w:p>
        </w:tc>
        <w:tc>
          <w:tcPr>
            <w:tcW w:w="588"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128</w:t>
            </w:r>
          </w:p>
        </w:tc>
        <w:tc>
          <w:tcPr>
            <w:tcW w:w="1550"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Альметьевский</w:t>
            </w:r>
            <w:proofErr w:type="spellEnd"/>
          </w:p>
        </w:tc>
        <w:tc>
          <w:tcPr>
            <w:tcW w:w="850"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38</w:t>
            </w:r>
          </w:p>
        </w:tc>
        <w:tc>
          <w:tcPr>
            <w:tcW w:w="151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Кировский</w:t>
            </w:r>
          </w:p>
        </w:tc>
        <w:tc>
          <w:tcPr>
            <w:tcW w:w="521" w:type="dxa"/>
            <w:tcBorders>
              <w:top w:val="single" w:sz="4" w:space="0" w:color="auto"/>
              <w:left w:val="single" w:sz="4" w:space="0" w:color="auto"/>
              <w:bottom w:val="single" w:sz="4" w:space="0" w:color="auto"/>
            </w:tcBorders>
            <w:shd w:val="clear" w:color="auto" w:fill="auto"/>
            <w:noWrap/>
            <w:vAlign w:val="center"/>
          </w:tcPr>
          <w:p w:rsidR="007C50D0" w:rsidRPr="007C50D0" w:rsidRDefault="007C50D0" w:rsidP="008619A6">
            <w:pPr>
              <w:contextualSpacing/>
              <w:jc w:val="center"/>
              <w:rPr>
                <w:i/>
              </w:rPr>
            </w:pPr>
            <w:r w:rsidRPr="007C50D0">
              <w:rPr>
                <w:i/>
              </w:rPr>
              <w:t>42</w:t>
            </w:r>
          </w:p>
        </w:tc>
      </w:tr>
      <w:tr w:rsidR="007C50D0" w:rsidRPr="007C50D0" w:rsidTr="007007DF">
        <w:trPr>
          <w:trHeight w:val="450"/>
          <w:jc w:val="center"/>
        </w:trPr>
        <w:tc>
          <w:tcPr>
            <w:tcW w:w="433" w:type="dxa"/>
            <w:tcBorders>
              <w:top w:val="single" w:sz="4"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rPr>
            </w:pPr>
            <w:r w:rsidRPr="007C50D0">
              <w:rPr>
                <w:b/>
              </w:rPr>
              <w:t>6</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pPr>
            <w:r w:rsidRPr="007C50D0">
              <w:t>Московский</w:t>
            </w:r>
          </w:p>
        </w:tc>
        <w:tc>
          <w:tcPr>
            <w:tcW w:w="545"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186</w:t>
            </w:r>
          </w:p>
        </w:tc>
        <w:tc>
          <w:tcPr>
            <w:tcW w:w="176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Ново-Савиновский</w:t>
            </w:r>
          </w:p>
        </w:tc>
        <w:tc>
          <w:tcPr>
            <w:tcW w:w="588"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110</w:t>
            </w:r>
          </w:p>
        </w:tc>
        <w:tc>
          <w:tcPr>
            <w:tcW w:w="1550"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Чистопольский</w:t>
            </w:r>
            <w:proofErr w:type="spellEnd"/>
          </w:p>
        </w:tc>
        <w:tc>
          <w:tcPr>
            <w:tcW w:w="850"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35</w:t>
            </w:r>
          </w:p>
        </w:tc>
        <w:tc>
          <w:tcPr>
            <w:tcW w:w="151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Ново-Савиновский</w:t>
            </w:r>
          </w:p>
        </w:tc>
        <w:tc>
          <w:tcPr>
            <w:tcW w:w="521" w:type="dxa"/>
            <w:tcBorders>
              <w:top w:val="single" w:sz="4" w:space="0" w:color="auto"/>
              <w:left w:val="single" w:sz="4" w:space="0" w:color="auto"/>
              <w:bottom w:val="single" w:sz="4" w:space="0" w:color="auto"/>
            </w:tcBorders>
            <w:shd w:val="clear" w:color="auto" w:fill="auto"/>
            <w:noWrap/>
            <w:vAlign w:val="center"/>
          </w:tcPr>
          <w:p w:rsidR="007C50D0" w:rsidRPr="007C50D0" w:rsidRDefault="007C50D0" w:rsidP="008619A6">
            <w:pPr>
              <w:contextualSpacing/>
              <w:jc w:val="center"/>
              <w:rPr>
                <w:i/>
              </w:rPr>
            </w:pPr>
            <w:r w:rsidRPr="007C50D0">
              <w:rPr>
                <w:i/>
              </w:rPr>
              <w:t>42</w:t>
            </w:r>
          </w:p>
        </w:tc>
      </w:tr>
      <w:tr w:rsidR="007C50D0" w:rsidRPr="007C50D0" w:rsidTr="007007DF">
        <w:trPr>
          <w:trHeight w:val="62"/>
          <w:jc w:val="center"/>
        </w:trPr>
        <w:tc>
          <w:tcPr>
            <w:tcW w:w="433" w:type="dxa"/>
            <w:tcBorders>
              <w:top w:val="single" w:sz="4"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rPr>
            </w:pPr>
            <w:r w:rsidRPr="007C50D0">
              <w:rPr>
                <w:b/>
              </w:rPr>
              <w:t>7</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pPr>
            <w:proofErr w:type="spellStart"/>
            <w:r w:rsidRPr="007C50D0">
              <w:t>Альметьевский</w:t>
            </w:r>
            <w:proofErr w:type="spellEnd"/>
          </w:p>
        </w:tc>
        <w:tc>
          <w:tcPr>
            <w:tcW w:w="545"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149</w:t>
            </w:r>
          </w:p>
        </w:tc>
        <w:tc>
          <w:tcPr>
            <w:tcW w:w="176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Кировский</w:t>
            </w:r>
          </w:p>
        </w:tc>
        <w:tc>
          <w:tcPr>
            <w:tcW w:w="588"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101</w:t>
            </w:r>
          </w:p>
        </w:tc>
        <w:tc>
          <w:tcPr>
            <w:tcW w:w="1550"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Вахитовский</w:t>
            </w:r>
            <w:proofErr w:type="spellEnd"/>
          </w:p>
        </w:tc>
        <w:tc>
          <w:tcPr>
            <w:tcW w:w="850"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34</w:t>
            </w:r>
          </w:p>
        </w:tc>
        <w:tc>
          <w:tcPr>
            <w:tcW w:w="151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Нижнекамский</w:t>
            </w:r>
          </w:p>
        </w:tc>
        <w:tc>
          <w:tcPr>
            <w:tcW w:w="521" w:type="dxa"/>
            <w:tcBorders>
              <w:top w:val="single" w:sz="4" w:space="0" w:color="auto"/>
              <w:left w:val="single" w:sz="4" w:space="0" w:color="auto"/>
              <w:bottom w:val="single" w:sz="4" w:space="0" w:color="auto"/>
            </w:tcBorders>
            <w:shd w:val="clear" w:color="auto" w:fill="auto"/>
            <w:noWrap/>
            <w:vAlign w:val="center"/>
          </w:tcPr>
          <w:p w:rsidR="007C50D0" w:rsidRPr="007C50D0" w:rsidRDefault="007C50D0" w:rsidP="008619A6">
            <w:pPr>
              <w:contextualSpacing/>
              <w:jc w:val="center"/>
              <w:rPr>
                <w:i/>
              </w:rPr>
            </w:pPr>
            <w:r w:rsidRPr="007C50D0">
              <w:rPr>
                <w:i/>
              </w:rPr>
              <w:t>41</w:t>
            </w:r>
          </w:p>
        </w:tc>
      </w:tr>
      <w:tr w:rsidR="007C50D0" w:rsidRPr="007C50D0" w:rsidTr="007007DF">
        <w:trPr>
          <w:trHeight w:val="118"/>
          <w:jc w:val="center"/>
        </w:trPr>
        <w:tc>
          <w:tcPr>
            <w:tcW w:w="433" w:type="dxa"/>
            <w:tcBorders>
              <w:top w:val="single" w:sz="4"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rPr>
            </w:pPr>
            <w:r w:rsidRPr="007C50D0">
              <w:rPr>
                <w:b/>
              </w:rPr>
              <w:t>8</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pPr>
            <w:proofErr w:type="spellStart"/>
            <w:r w:rsidRPr="007C50D0">
              <w:t>Вахитовский</w:t>
            </w:r>
            <w:proofErr w:type="spellEnd"/>
          </w:p>
        </w:tc>
        <w:tc>
          <w:tcPr>
            <w:tcW w:w="545"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142</w:t>
            </w:r>
          </w:p>
        </w:tc>
        <w:tc>
          <w:tcPr>
            <w:tcW w:w="176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Приволжский</w:t>
            </w:r>
          </w:p>
        </w:tc>
        <w:tc>
          <w:tcPr>
            <w:tcW w:w="588"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85</w:t>
            </w:r>
          </w:p>
        </w:tc>
        <w:tc>
          <w:tcPr>
            <w:tcW w:w="1550"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Зеленодольский</w:t>
            </w:r>
            <w:proofErr w:type="spellEnd"/>
          </w:p>
        </w:tc>
        <w:tc>
          <w:tcPr>
            <w:tcW w:w="850"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32</w:t>
            </w:r>
          </w:p>
        </w:tc>
        <w:tc>
          <w:tcPr>
            <w:tcW w:w="151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Зеленодольский</w:t>
            </w:r>
            <w:proofErr w:type="spellEnd"/>
          </w:p>
        </w:tc>
        <w:tc>
          <w:tcPr>
            <w:tcW w:w="521" w:type="dxa"/>
            <w:tcBorders>
              <w:top w:val="single" w:sz="4" w:space="0" w:color="auto"/>
              <w:left w:val="single" w:sz="4" w:space="0" w:color="auto"/>
              <w:bottom w:val="single" w:sz="4" w:space="0" w:color="auto"/>
            </w:tcBorders>
            <w:shd w:val="clear" w:color="auto" w:fill="auto"/>
            <w:noWrap/>
            <w:vAlign w:val="center"/>
          </w:tcPr>
          <w:p w:rsidR="007C50D0" w:rsidRPr="007C50D0" w:rsidRDefault="007C50D0" w:rsidP="008619A6">
            <w:pPr>
              <w:contextualSpacing/>
              <w:jc w:val="center"/>
              <w:rPr>
                <w:i/>
              </w:rPr>
            </w:pPr>
            <w:r w:rsidRPr="007C50D0">
              <w:rPr>
                <w:i/>
              </w:rPr>
              <w:t>40</w:t>
            </w:r>
          </w:p>
        </w:tc>
      </w:tr>
      <w:tr w:rsidR="007C50D0" w:rsidRPr="007C50D0" w:rsidTr="007007DF">
        <w:trPr>
          <w:trHeight w:val="223"/>
          <w:jc w:val="center"/>
        </w:trPr>
        <w:tc>
          <w:tcPr>
            <w:tcW w:w="433" w:type="dxa"/>
            <w:tcBorders>
              <w:top w:val="single" w:sz="4"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rPr>
            </w:pPr>
            <w:r w:rsidRPr="007C50D0">
              <w:rPr>
                <w:b/>
              </w:rPr>
              <w:t>9</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pPr>
            <w:proofErr w:type="spellStart"/>
            <w:r w:rsidRPr="007C50D0">
              <w:t>Зеленодольский</w:t>
            </w:r>
            <w:proofErr w:type="spellEnd"/>
          </w:p>
        </w:tc>
        <w:tc>
          <w:tcPr>
            <w:tcW w:w="545"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139</w:t>
            </w:r>
          </w:p>
        </w:tc>
        <w:tc>
          <w:tcPr>
            <w:tcW w:w="176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Верхнеуслонский</w:t>
            </w:r>
            <w:proofErr w:type="spellEnd"/>
          </w:p>
        </w:tc>
        <w:tc>
          <w:tcPr>
            <w:tcW w:w="588"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80</w:t>
            </w:r>
          </w:p>
        </w:tc>
        <w:tc>
          <w:tcPr>
            <w:tcW w:w="1550"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r w:rsidRPr="007C50D0">
              <w:t>Ново-Савиновский</w:t>
            </w:r>
          </w:p>
        </w:tc>
        <w:tc>
          <w:tcPr>
            <w:tcW w:w="850" w:type="dxa"/>
            <w:tcBorders>
              <w:top w:val="single" w:sz="4" w:space="0" w:color="auto"/>
              <w:left w:val="sing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32</w:t>
            </w:r>
          </w:p>
        </w:tc>
        <w:tc>
          <w:tcPr>
            <w:tcW w:w="1518" w:type="dxa"/>
            <w:tcBorders>
              <w:top w:val="single"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Вахитовский</w:t>
            </w:r>
            <w:proofErr w:type="spellEnd"/>
          </w:p>
        </w:tc>
        <w:tc>
          <w:tcPr>
            <w:tcW w:w="521" w:type="dxa"/>
            <w:tcBorders>
              <w:top w:val="single" w:sz="4" w:space="0" w:color="auto"/>
              <w:left w:val="single" w:sz="4" w:space="0" w:color="auto"/>
              <w:bottom w:val="single" w:sz="4" w:space="0" w:color="auto"/>
            </w:tcBorders>
            <w:shd w:val="clear" w:color="auto" w:fill="auto"/>
            <w:noWrap/>
            <w:vAlign w:val="center"/>
          </w:tcPr>
          <w:p w:rsidR="007C50D0" w:rsidRPr="007C50D0" w:rsidRDefault="007C50D0" w:rsidP="008619A6">
            <w:pPr>
              <w:contextualSpacing/>
              <w:jc w:val="center"/>
              <w:rPr>
                <w:i/>
              </w:rPr>
            </w:pPr>
            <w:r w:rsidRPr="007C50D0">
              <w:rPr>
                <w:i/>
              </w:rPr>
              <w:t>36</w:t>
            </w:r>
          </w:p>
        </w:tc>
      </w:tr>
      <w:tr w:rsidR="007C50D0" w:rsidRPr="007C50D0" w:rsidTr="007007DF">
        <w:trPr>
          <w:trHeight w:val="450"/>
          <w:jc w:val="center"/>
        </w:trPr>
        <w:tc>
          <w:tcPr>
            <w:tcW w:w="433" w:type="dxa"/>
            <w:tcBorders>
              <w:top w:val="single" w:sz="4" w:space="0" w:color="auto"/>
              <w:bottom w:val="double" w:sz="4" w:space="0" w:color="auto"/>
              <w:right w:val="single" w:sz="4" w:space="0" w:color="auto"/>
            </w:tcBorders>
            <w:shd w:val="clear" w:color="auto" w:fill="auto"/>
            <w:noWrap/>
            <w:vAlign w:val="center"/>
          </w:tcPr>
          <w:p w:rsidR="007C50D0" w:rsidRPr="007C50D0" w:rsidRDefault="007C50D0" w:rsidP="008619A6">
            <w:pPr>
              <w:contextualSpacing/>
              <w:jc w:val="center"/>
              <w:rPr>
                <w:b/>
              </w:rPr>
            </w:pPr>
            <w:r w:rsidRPr="007C50D0">
              <w:rPr>
                <w:b/>
              </w:rPr>
              <w:t>10</w:t>
            </w:r>
          </w:p>
        </w:tc>
        <w:tc>
          <w:tcPr>
            <w:tcW w:w="1610"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pPr>
            <w:r w:rsidRPr="007C50D0">
              <w:t>Кировский</w:t>
            </w:r>
          </w:p>
        </w:tc>
        <w:tc>
          <w:tcPr>
            <w:tcW w:w="545" w:type="dxa"/>
            <w:tcBorders>
              <w:top w:val="single" w:sz="4" w:space="0" w:color="auto"/>
              <w:left w:val="single" w:sz="4" w:space="0" w:color="auto"/>
              <w:bottom w:val="doub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124</w:t>
            </w:r>
          </w:p>
        </w:tc>
        <w:tc>
          <w:tcPr>
            <w:tcW w:w="1768" w:type="dxa"/>
            <w:tcBorders>
              <w:top w:val="single" w:sz="4" w:space="0" w:color="auto"/>
              <w:left w:val="doub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Зеленодольский</w:t>
            </w:r>
            <w:proofErr w:type="spellEnd"/>
          </w:p>
        </w:tc>
        <w:tc>
          <w:tcPr>
            <w:tcW w:w="588" w:type="dxa"/>
            <w:tcBorders>
              <w:top w:val="single" w:sz="4" w:space="0" w:color="auto"/>
              <w:left w:val="single" w:sz="4" w:space="0" w:color="auto"/>
              <w:bottom w:val="doub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76</w:t>
            </w:r>
          </w:p>
        </w:tc>
        <w:tc>
          <w:tcPr>
            <w:tcW w:w="1550" w:type="dxa"/>
            <w:tcBorders>
              <w:top w:val="single" w:sz="4" w:space="0" w:color="auto"/>
              <w:left w:val="doub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Лаишевский</w:t>
            </w:r>
            <w:proofErr w:type="spellEnd"/>
          </w:p>
        </w:tc>
        <w:tc>
          <w:tcPr>
            <w:tcW w:w="850" w:type="dxa"/>
            <w:tcBorders>
              <w:top w:val="single" w:sz="4" w:space="0" w:color="auto"/>
              <w:left w:val="single" w:sz="4" w:space="0" w:color="auto"/>
              <w:bottom w:val="double" w:sz="4" w:space="0" w:color="auto"/>
              <w:right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25</w:t>
            </w:r>
          </w:p>
        </w:tc>
        <w:tc>
          <w:tcPr>
            <w:tcW w:w="1518" w:type="dxa"/>
            <w:tcBorders>
              <w:top w:val="single" w:sz="4" w:space="0" w:color="auto"/>
              <w:left w:val="doub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pPr>
            <w:proofErr w:type="spellStart"/>
            <w:r w:rsidRPr="007C50D0">
              <w:t>Альметьевский</w:t>
            </w:r>
            <w:proofErr w:type="spellEnd"/>
          </w:p>
        </w:tc>
        <w:tc>
          <w:tcPr>
            <w:tcW w:w="521" w:type="dxa"/>
            <w:tcBorders>
              <w:top w:val="single" w:sz="4" w:space="0" w:color="auto"/>
              <w:left w:val="single" w:sz="4" w:space="0" w:color="auto"/>
              <w:bottom w:val="double" w:sz="4" w:space="0" w:color="auto"/>
            </w:tcBorders>
            <w:shd w:val="clear" w:color="auto" w:fill="auto"/>
            <w:noWrap/>
            <w:vAlign w:val="center"/>
          </w:tcPr>
          <w:p w:rsidR="007C50D0" w:rsidRPr="007C50D0" w:rsidRDefault="007C50D0" w:rsidP="008619A6">
            <w:pPr>
              <w:contextualSpacing/>
              <w:jc w:val="center"/>
              <w:rPr>
                <w:i/>
              </w:rPr>
            </w:pPr>
            <w:r w:rsidRPr="007C50D0">
              <w:rPr>
                <w:i/>
              </w:rPr>
              <w:t>34</w:t>
            </w:r>
          </w:p>
        </w:tc>
      </w:tr>
    </w:tbl>
    <w:p w:rsidR="007C50D0" w:rsidRPr="007C50D0" w:rsidRDefault="007C50D0" w:rsidP="008619A6">
      <w:pPr>
        <w:ind w:firstLine="851"/>
        <w:contextualSpacing/>
        <w:jc w:val="both"/>
        <w:rPr>
          <w:sz w:val="28"/>
          <w:szCs w:val="28"/>
        </w:rPr>
      </w:pPr>
      <w:r w:rsidRPr="007C50D0">
        <w:rPr>
          <w:sz w:val="28"/>
          <w:szCs w:val="28"/>
        </w:rPr>
        <w:t>На протяжении последних пяти лет наблюдается стабильное уменьшение количества рассмотренных дел по отдельным категориям преступлений. В частности:</w:t>
      </w:r>
    </w:p>
    <w:p w:rsidR="007C50D0" w:rsidRPr="007C50D0" w:rsidRDefault="007C50D0" w:rsidP="00335DC8">
      <w:pPr>
        <w:numPr>
          <w:ilvl w:val="0"/>
          <w:numId w:val="13"/>
        </w:numPr>
        <w:contextualSpacing/>
        <w:jc w:val="both"/>
        <w:rPr>
          <w:sz w:val="28"/>
          <w:szCs w:val="28"/>
        </w:rPr>
      </w:pPr>
      <w:r w:rsidRPr="007C50D0">
        <w:rPr>
          <w:sz w:val="28"/>
          <w:szCs w:val="28"/>
        </w:rPr>
        <w:t xml:space="preserve">нарушение правил охраны труда (ст. 143,215, 216-219 УК РФ) – на 29,4% по отношению к 2016 году и в 1,8 раза по отношению к 2013 году; </w:t>
      </w:r>
    </w:p>
    <w:p w:rsidR="007C50D0" w:rsidRPr="007C50D0" w:rsidRDefault="007C50D0" w:rsidP="00335DC8">
      <w:pPr>
        <w:numPr>
          <w:ilvl w:val="0"/>
          <w:numId w:val="13"/>
        </w:numPr>
        <w:contextualSpacing/>
        <w:jc w:val="both"/>
        <w:rPr>
          <w:sz w:val="28"/>
          <w:szCs w:val="28"/>
        </w:rPr>
      </w:pPr>
      <w:r w:rsidRPr="007C50D0">
        <w:rPr>
          <w:sz w:val="28"/>
          <w:szCs w:val="28"/>
        </w:rPr>
        <w:t xml:space="preserve">причинение тяжкого либо средней тяжести вреда здоровью </w:t>
      </w:r>
      <w:proofErr w:type="gramStart"/>
      <w:r w:rsidRPr="007C50D0">
        <w:rPr>
          <w:sz w:val="28"/>
          <w:szCs w:val="28"/>
        </w:rPr>
        <w:t xml:space="preserve">( </w:t>
      </w:r>
      <w:proofErr w:type="gramEnd"/>
      <w:r w:rsidRPr="007C50D0">
        <w:rPr>
          <w:sz w:val="28"/>
          <w:szCs w:val="28"/>
        </w:rPr>
        <w:t>ст. 113, 114, 117, 118 УК РФ) – на 26,5 % по отношению к 2016 году и в 2 раза по сравнению с 2013 годом;</w:t>
      </w:r>
    </w:p>
    <w:p w:rsidR="007C50D0" w:rsidRPr="007C50D0" w:rsidRDefault="007C50D0" w:rsidP="00335DC8">
      <w:pPr>
        <w:numPr>
          <w:ilvl w:val="0"/>
          <w:numId w:val="13"/>
        </w:numPr>
        <w:contextualSpacing/>
        <w:jc w:val="both"/>
        <w:rPr>
          <w:sz w:val="28"/>
          <w:szCs w:val="28"/>
        </w:rPr>
      </w:pPr>
      <w:r w:rsidRPr="007C50D0">
        <w:rPr>
          <w:sz w:val="28"/>
          <w:szCs w:val="28"/>
        </w:rPr>
        <w:t>хулиганство (ст. 213 УК РФ) – на 18,9% по отношению к 2016 году и в 2,3 раза по отношению к 2013 году;</w:t>
      </w:r>
    </w:p>
    <w:p w:rsidR="007C50D0" w:rsidRPr="007C50D0" w:rsidRDefault="007C50D0" w:rsidP="00335DC8">
      <w:pPr>
        <w:numPr>
          <w:ilvl w:val="0"/>
          <w:numId w:val="13"/>
        </w:numPr>
        <w:contextualSpacing/>
        <w:jc w:val="both"/>
        <w:rPr>
          <w:sz w:val="28"/>
          <w:szCs w:val="28"/>
        </w:rPr>
      </w:pPr>
      <w:r w:rsidRPr="007C50D0">
        <w:rPr>
          <w:sz w:val="28"/>
          <w:szCs w:val="28"/>
        </w:rPr>
        <w:t xml:space="preserve">разбой (ст. 162 УК РФ) – на 16,7% по отношению к 2016 году и в 1,2 раза по отношению к 2013 году; </w:t>
      </w:r>
    </w:p>
    <w:p w:rsidR="007C50D0" w:rsidRPr="007C50D0" w:rsidRDefault="007C50D0" w:rsidP="00335DC8">
      <w:pPr>
        <w:numPr>
          <w:ilvl w:val="0"/>
          <w:numId w:val="13"/>
        </w:numPr>
        <w:contextualSpacing/>
        <w:jc w:val="both"/>
        <w:rPr>
          <w:sz w:val="28"/>
          <w:szCs w:val="28"/>
        </w:rPr>
      </w:pPr>
      <w:r w:rsidRPr="007C50D0">
        <w:rPr>
          <w:sz w:val="28"/>
          <w:szCs w:val="28"/>
        </w:rPr>
        <w:t>неправомерное завладение транспортным средством (ст. 166) – на 8,8% по отношению к 2016 году и в 1,5 раза по отношению к 2013 году.</w:t>
      </w:r>
    </w:p>
    <w:p w:rsidR="007C50D0" w:rsidRPr="007C50D0" w:rsidRDefault="007C50D0" w:rsidP="008619A6">
      <w:pPr>
        <w:ind w:firstLine="708"/>
        <w:contextualSpacing/>
        <w:jc w:val="both"/>
        <w:rPr>
          <w:sz w:val="28"/>
          <w:szCs w:val="28"/>
        </w:rPr>
      </w:pPr>
      <w:r w:rsidRPr="007C50D0">
        <w:rPr>
          <w:sz w:val="28"/>
          <w:szCs w:val="28"/>
        </w:rPr>
        <w:t xml:space="preserve">С другой стороны, наблюдается увеличение количества рассмотренных уголовных дел по следующим категориям: </w:t>
      </w:r>
    </w:p>
    <w:p w:rsidR="007C50D0" w:rsidRPr="007C50D0" w:rsidRDefault="007C50D0" w:rsidP="00335DC8">
      <w:pPr>
        <w:numPr>
          <w:ilvl w:val="0"/>
          <w:numId w:val="22"/>
        </w:numPr>
        <w:ind w:left="709" w:hanging="283"/>
        <w:contextualSpacing/>
        <w:jc w:val="both"/>
        <w:rPr>
          <w:sz w:val="28"/>
          <w:szCs w:val="28"/>
        </w:rPr>
      </w:pPr>
      <w:r w:rsidRPr="007C50D0">
        <w:rPr>
          <w:sz w:val="28"/>
          <w:szCs w:val="28"/>
        </w:rPr>
        <w:t>иные посягательства на жизнь человека (ст.ст.106-110) – в 2,2 раза по сравнению с прошлым годом и в 1,5 раза по сравнению с 2013 годом;</w:t>
      </w:r>
    </w:p>
    <w:p w:rsidR="007C50D0" w:rsidRPr="007C50D0" w:rsidRDefault="007C50D0" w:rsidP="00335DC8">
      <w:pPr>
        <w:numPr>
          <w:ilvl w:val="0"/>
          <w:numId w:val="22"/>
        </w:numPr>
        <w:ind w:left="709" w:hanging="283"/>
        <w:contextualSpacing/>
        <w:jc w:val="both"/>
        <w:rPr>
          <w:sz w:val="28"/>
          <w:szCs w:val="28"/>
        </w:rPr>
      </w:pPr>
      <w:r w:rsidRPr="007C50D0">
        <w:rPr>
          <w:sz w:val="28"/>
          <w:szCs w:val="28"/>
        </w:rPr>
        <w:t>изнасилование и другие посягательства против половой неприкосновенности (ст.ст.131-135) – на 15,0% по отношению к 2016 году и в 2 раза по сравнению с 2013 годом;</w:t>
      </w:r>
    </w:p>
    <w:p w:rsidR="007C50D0" w:rsidRPr="007C50D0" w:rsidRDefault="007C50D0" w:rsidP="00335DC8">
      <w:pPr>
        <w:numPr>
          <w:ilvl w:val="0"/>
          <w:numId w:val="22"/>
        </w:numPr>
        <w:ind w:left="709" w:hanging="283"/>
        <w:contextualSpacing/>
        <w:jc w:val="both"/>
        <w:rPr>
          <w:sz w:val="28"/>
          <w:szCs w:val="28"/>
        </w:rPr>
      </w:pPr>
      <w:r w:rsidRPr="007C50D0">
        <w:rPr>
          <w:sz w:val="28"/>
          <w:szCs w:val="28"/>
        </w:rPr>
        <w:t xml:space="preserve">заведомо ложное сообщение об акте терроризма (ст. 207 УК РФ) – на 24,1% по сравнению с прошлым отчетным периодом и в 1,8 раза по отношению к 2013 году; </w:t>
      </w:r>
    </w:p>
    <w:p w:rsidR="007C50D0" w:rsidRPr="007C50D0" w:rsidRDefault="007C50D0" w:rsidP="00335DC8">
      <w:pPr>
        <w:numPr>
          <w:ilvl w:val="0"/>
          <w:numId w:val="22"/>
        </w:numPr>
        <w:ind w:left="709" w:hanging="283"/>
        <w:contextualSpacing/>
        <w:jc w:val="both"/>
        <w:rPr>
          <w:sz w:val="28"/>
          <w:szCs w:val="28"/>
        </w:rPr>
      </w:pPr>
      <w:r w:rsidRPr="007C50D0">
        <w:rPr>
          <w:sz w:val="28"/>
          <w:szCs w:val="28"/>
        </w:rPr>
        <w:lastRenderedPageBreak/>
        <w:t>незаконные действия с оружием (</w:t>
      </w:r>
      <w:proofErr w:type="spellStart"/>
      <w:r w:rsidRPr="007C50D0">
        <w:rPr>
          <w:sz w:val="28"/>
          <w:szCs w:val="28"/>
        </w:rPr>
        <w:t>ст.ст</w:t>
      </w:r>
      <w:proofErr w:type="spellEnd"/>
      <w:r w:rsidRPr="007C50D0">
        <w:rPr>
          <w:sz w:val="28"/>
          <w:szCs w:val="28"/>
        </w:rPr>
        <w:t>. 222-226 УК РФ) – увеличение наблюдается на протяжении последних четырех лет: по сравнению с 2016 годом на 3,8% и на 8,7% по отношению к 2013 году;</w:t>
      </w:r>
    </w:p>
    <w:p w:rsidR="007C50D0" w:rsidRPr="007C50D0" w:rsidRDefault="007C50D0" w:rsidP="00335DC8">
      <w:pPr>
        <w:numPr>
          <w:ilvl w:val="0"/>
          <w:numId w:val="22"/>
        </w:numPr>
        <w:ind w:left="709" w:hanging="283"/>
        <w:contextualSpacing/>
        <w:jc w:val="both"/>
        <w:rPr>
          <w:sz w:val="28"/>
          <w:szCs w:val="28"/>
        </w:rPr>
      </w:pPr>
      <w:r w:rsidRPr="007C50D0">
        <w:rPr>
          <w:sz w:val="28"/>
          <w:szCs w:val="28"/>
        </w:rPr>
        <w:t>преступления против лиц, осуществляющих правосудие и предварительное расследование, других представителей власти (</w:t>
      </w:r>
      <w:proofErr w:type="spellStart"/>
      <w:r w:rsidRPr="007C50D0">
        <w:rPr>
          <w:sz w:val="28"/>
          <w:szCs w:val="28"/>
        </w:rPr>
        <w:t>ст.ст</w:t>
      </w:r>
      <w:proofErr w:type="spellEnd"/>
      <w:r w:rsidRPr="007C50D0">
        <w:rPr>
          <w:sz w:val="28"/>
          <w:szCs w:val="28"/>
        </w:rPr>
        <w:t>. 294-298, 317-321 УК РФ) – увеличение стабильное на протяжении всего пятилетнего интервала наблюдения: на 10,8% по сравнению с 2016 годом и в 1,4 раза по сравнению с 2013 годом.</w:t>
      </w:r>
    </w:p>
    <w:p w:rsidR="007C50D0" w:rsidRPr="007C50D0" w:rsidRDefault="007C50D0" w:rsidP="008619A6">
      <w:pPr>
        <w:ind w:firstLine="708"/>
        <w:contextualSpacing/>
        <w:jc w:val="both"/>
        <w:rPr>
          <w:sz w:val="28"/>
          <w:szCs w:val="28"/>
        </w:rPr>
      </w:pPr>
      <w:r w:rsidRPr="007C50D0">
        <w:rPr>
          <w:sz w:val="28"/>
          <w:szCs w:val="28"/>
        </w:rPr>
        <w:t xml:space="preserve">Увеличилось на 10,5% по сравнению с прошлым годом и количество дел, связанных с незаконным оборотом наркотиков (см. Таблицу 8 и График 6). </w:t>
      </w:r>
    </w:p>
    <w:p w:rsidR="007C50D0" w:rsidRPr="007C50D0" w:rsidRDefault="007C50D0" w:rsidP="008619A6">
      <w:pPr>
        <w:ind w:firstLine="900"/>
        <w:contextualSpacing/>
        <w:jc w:val="center"/>
        <w:rPr>
          <w:sz w:val="24"/>
          <w:szCs w:val="24"/>
        </w:rPr>
      </w:pPr>
      <w:r w:rsidRPr="007C50D0">
        <w:rPr>
          <w:sz w:val="24"/>
          <w:szCs w:val="24"/>
        </w:rPr>
        <w:t xml:space="preserve">                                                                                                                   </w:t>
      </w:r>
      <w:r w:rsidR="007007DF">
        <w:rPr>
          <w:sz w:val="24"/>
          <w:szCs w:val="24"/>
        </w:rPr>
        <w:t xml:space="preserve">   </w:t>
      </w:r>
      <w:r w:rsidRPr="007C50D0">
        <w:rPr>
          <w:sz w:val="24"/>
          <w:szCs w:val="24"/>
        </w:rPr>
        <w:t xml:space="preserve"> Таблица </w:t>
      </w:r>
      <w:r w:rsidR="00C02904">
        <w:rPr>
          <w:sz w:val="24"/>
          <w:szCs w:val="24"/>
        </w:rPr>
        <w:t>1</w:t>
      </w:r>
      <w:r w:rsidRPr="007C50D0">
        <w:rPr>
          <w:sz w:val="24"/>
          <w:szCs w:val="24"/>
        </w:rPr>
        <w:t>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884"/>
        <w:gridCol w:w="840"/>
        <w:gridCol w:w="916"/>
        <w:gridCol w:w="1080"/>
        <w:gridCol w:w="1076"/>
      </w:tblGrid>
      <w:tr w:rsidR="007C50D0" w:rsidRPr="007C50D0" w:rsidTr="007007DF">
        <w:trPr>
          <w:trHeight w:val="351"/>
        </w:trPr>
        <w:tc>
          <w:tcPr>
            <w:tcW w:w="9356" w:type="dxa"/>
            <w:gridSpan w:val="6"/>
            <w:tcBorders>
              <w:top w:val="doub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Количество рассмотренных уголовных дел по ст. 228-233 УК РФ</w:t>
            </w:r>
          </w:p>
        </w:tc>
      </w:tr>
      <w:tr w:rsidR="007C50D0" w:rsidRPr="007C50D0" w:rsidTr="007007DF">
        <w:trPr>
          <w:trHeight w:val="284"/>
        </w:trPr>
        <w:tc>
          <w:tcPr>
            <w:tcW w:w="4560" w:type="dxa"/>
            <w:tcBorders>
              <w:left w:val="doub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p>
        </w:tc>
        <w:tc>
          <w:tcPr>
            <w:tcW w:w="884"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840"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916"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1080"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1076" w:type="dxa"/>
            <w:tcBorders>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7007DF">
        <w:trPr>
          <w:trHeight w:val="152"/>
        </w:trPr>
        <w:tc>
          <w:tcPr>
            <w:tcW w:w="4560" w:type="dxa"/>
            <w:tcBorders>
              <w:top w:val="thickThinLargeGap" w:sz="24" w:space="0" w:color="auto"/>
              <w:left w:val="double" w:sz="4" w:space="0" w:color="auto"/>
            </w:tcBorders>
            <w:vAlign w:val="center"/>
          </w:tcPr>
          <w:p w:rsidR="007C50D0" w:rsidRPr="007C50D0" w:rsidRDefault="007C50D0" w:rsidP="008619A6">
            <w:pPr>
              <w:contextualSpacing/>
              <w:jc w:val="center"/>
              <w:rPr>
                <w:b/>
                <w:sz w:val="24"/>
                <w:szCs w:val="24"/>
              </w:rPr>
            </w:pPr>
            <w:r w:rsidRPr="007C50D0">
              <w:rPr>
                <w:b/>
                <w:sz w:val="24"/>
                <w:szCs w:val="24"/>
              </w:rPr>
              <w:t>Количество дел</w:t>
            </w:r>
          </w:p>
        </w:tc>
        <w:tc>
          <w:tcPr>
            <w:tcW w:w="884" w:type="dxa"/>
            <w:tcBorders>
              <w:top w:val="thickThinLargeGap" w:sz="24" w:space="0" w:color="auto"/>
            </w:tcBorders>
            <w:vAlign w:val="center"/>
          </w:tcPr>
          <w:p w:rsidR="007C50D0" w:rsidRPr="007C50D0" w:rsidRDefault="007C50D0" w:rsidP="008619A6">
            <w:pPr>
              <w:contextualSpacing/>
              <w:jc w:val="center"/>
              <w:rPr>
                <w:sz w:val="24"/>
                <w:szCs w:val="24"/>
              </w:rPr>
            </w:pPr>
            <w:r w:rsidRPr="007C50D0">
              <w:rPr>
                <w:sz w:val="24"/>
                <w:szCs w:val="24"/>
              </w:rPr>
              <w:t>1961</w:t>
            </w:r>
          </w:p>
        </w:tc>
        <w:tc>
          <w:tcPr>
            <w:tcW w:w="840" w:type="dxa"/>
            <w:tcBorders>
              <w:top w:val="thickThinLargeGap" w:sz="24" w:space="0" w:color="auto"/>
            </w:tcBorders>
            <w:vAlign w:val="center"/>
          </w:tcPr>
          <w:p w:rsidR="007C50D0" w:rsidRPr="007C50D0" w:rsidRDefault="007C50D0" w:rsidP="008619A6">
            <w:pPr>
              <w:contextualSpacing/>
              <w:jc w:val="center"/>
              <w:rPr>
                <w:sz w:val="24"/>
                <w:szCs w:val="24"/>
              </w:rPr>
            </w:pPr>
            <w:r w:rsidRPr="007C50D0">
              <w:rPr>
                <w:sz w:val="24"/>
                <w:szCs w:val="24"/>
              </w:rPr>
              <w:t>1956</w:t>
            </w:r>
          </w:p>
        </w:tc>
        <w:tc>
          <w:tcPr>
            <w:tcW w:w="916" w:type="dxa"/>
            <w:tcBorders>
              <w:top w:val="thickThinLargeGap" w:sz="24" w:space="0" w:color="auto"/>
            </w:tcBorders>
            <w:vAlign w:val="center"/>
          </w:tcPr>
          <w:p w:rsidR="007C50D0" w:rsidRPr="007C50D0" w:rsidRDefault="007C50D0" w:rsidP="008619A6">
            <w:pPr>
              <w:contextualSpacing/>
              <w:jc w:val="center"/>
              <w:rPr>
                <w:sz w:val="24"/>
                <w:szCs w:val="24"/>
              </w:rPr>
            </w:pPr>
            <w:r w:rsidRPr="007C50D0">
              <w:rPr>
                <w:sz w:val="24"/>
                <w:szCs w:val="24"/>
              </w:rPr>
              <w:t>1853</w:t>
            </w:r>
          </w:p>
        </w:tc>
        <w:tc>
          <w:tcPr>
            <w:tcW w:w="1080" w:type="dxa"/>
            <w:tcBorders>
              <w:top w:val="thickThinLargeGap" w:sz="24" w:space="0" w:color="auto"/>
            </w:tcBorders>
            <w:vAlign w:val="center"/>
          </w:tcPr>
          <w:p w:rsidR="007C50D0" w:rsidRPr="007C50D0" w:rsidRDefault="007C50D0" w:rsidP="008619A6">
            <w:pPr>
              <w:contextualSpacing/>
              <w:jc w:val="center"/>
              <w:rPr>
                <w:sz w:val="24"/>
                <w:szCs w:val="24"/>
              </w:rPr>
            </w:pPr>
            <w:r w:rsidRPr="007C50D0">
              <w:rPr>
                <w:sz w:val="24"/>
                <w:szCs w:val="24"/>
              </w:rPr>
              <w:t>1636</w:t>
            </w:r>
          </w:p>
        </w:tc>
        <w:tc>
          <w:tcPr>
            <w:tcW w:w="1076" w:type="dxa"/>
            <w:tcBorders>
              <w:top w:val="thickThinLargeGap" w:sz="24" w:space="0" w:color="auto"/>
              <w:right w:val="double" w:sz="4" w:space="0" w:color="auto"/>
            </w:tcBorders>
            <w:vAlign w:val="center"/>
          </w:tcPr>
          <w:p w:rsidR="007C50D0" w:rsidRPr="007C50D0" w:rsidRDefault="007C50D0" w:rsidP="008619A6">
            <w:pPr>
              <w:contextualSpacing/>
              <w:jc w:val="center"/>
              <w:rPr>
                <w:sz w:val="24"/>
                <w:szCs w:val="24"/>
              </w:rPr>
            </w:pPr>
            <w:r w:rsidRPr="007C50D0">
              <w:rPr>
                <w:sz w:val="24"/>
                <w:szCs w:val="24"/>
              </w:rPr>
              <w:t>1808</w:t>
            </w:r>
          </w:p>
        </w:tc>
      </w:tr>
      <w:tr w:rsidR="007C50D0" w:rsidRPr="007C50D0" w:rsidTr="007007DF">
        <w:trPr>
          <w:trHeight w:val="295"/>
        </w:trPr>
        <w:tc>
          <w:tcPr>
            <w:tcW w:w="4560" w:type="dxa"/>
            <w:tcBorders>
              <w:top w:val="single" w:sz="4" w:space="0" w:color="auto"/>
              <w:left w:val="double" w:sz="4" w:space="0" w:color="auto"/>
              <w:bottom w:val="double" w:sz="4" w:space="0" w:color="auto"/>
            </w:tcBorders>
            <w:vAlign w:val="center"/>
          </w:tcPr>
          <w:p w:rsidR="007C50D0" w:rsidRPr="007C50D0" w:rsidRDefault="007C50D0" w:rsidP="008619A6">
            <w:pPr>
              <w:contextualSpacing/>
              <w:jc w:val="center"/>
              <w:rPr>
                <w:b/>
                <w:sz w:val="24"/>
                <w:szCs w:val="24"/>
              </w:rPr>
            </w:pPr>
            <w:r w:rsidRPr="007C50D0">
              <w:rPr>
                <w:b/>
                <w:sz w:val="24"/>
                <w:szCs w:val="24"/>
              </w:rPr>
              <w:t>Доля в общем количестве рассмотренных уголовных дел</w:t>
            </w:r>
            <w:proofErr w:type="gramStart"/>
            <w:r w:rsidRPr="007C50D0">
              <w:rPr>
                <w:b/>
                <w:sz w:val="24"/>
                <w:szCs w:val="24"/>
              </w:rPr>
              <w:t xml:space="preserve"> (%)</w:t>
            </w:r>
            <w:proofErr w:type="gramEnd"/>
          </w:p>
        </w:tc>
        <w:tc>
          <w:tcPr>
            <w:tcW w:w="884" w:type="dxa"/>
            <w:tcBorders>
              <w:top w:val="single" w:sz="4" w:space="0" w:color="auto"/>
              <w:bottom w:val="double" w:sz="4" w:space="0" w:color="auto"/>
            </w:tcBorders>
            <w:vAlign w:val="center"/>
          </w:tcPr>
          <w:p w:rsidR="007C50D0" w:rsidRPr="007C50D0" w:rsidRDefault="007C50D0" w:rsidP="008619A6">
            <w:pPr>
              <w:contextualSpacing/>
              <w:jc w:val="center"/>
              <w:rPr>
                <w:b/>
              </w:rPr>
            </w:pPr>
            <w:r w:rsidRPr="007C50D0">
              <w:rPr>
                <w:b/>
              </w:rPr>
              <w:t>17,9</w:t>
            </w:r>
          </w:p>
        </w:tc>
        <w:tc>
          <w:tcPr>
            <w:tcW w:w="840" w:type="dxa"/>
            <w:tcBorders>
              <w:top w:val="single" w:sz="4" w:space="0" w:color="auto"/>
              <w:bottom w:val="double" w:sz="4" w:space="0" w:color="auto"/>
            </w:tcBorders>
            <w:vAlign w:val="center"/>
          </w:tcPr>
          <w:p w:rsidR="007C50D0" w:rsidRPr="007C50D0" w:rsidRDefault="007C50D0" w:rsidP="008619A6">
            <w:pPr>
              <w:contextualSpacing/>
              <w:jc w:val="center"/>
              <w:rPr>
                <w:b/>
              </w:rPr>
            </w:pPr>
            <w:r w:rsidRPr="007C50D0">
              <w:rPr>
                <w:b/>
              </w:rPr>
              <w:t>19,4</w:t>
            </w:r>
          </w:p>
        </w:tc>
        <w:tc>
          <w:tcPr>
            <w:tcW w:w="916" w:type="dxa"/>
            <w:tcBorders>
              <w:top w:val="single" w:sz="4" w:space="0" w:color="auto"/>
              <w:bottom w:val="double" w:sz="4" w:space="0" w:color="auto"/>
            </w:tcBorders>
            <w:vAlign w:val="center"/>
          </w:tcPr>
          <w:p w:rsidR="007C50D0" w:rsidRPr="007C50D0" w:rsidRDefault="007C50D0" w:rsidP="008619A6">
            <w:pPr>
              <w:contextualSpacing/>
              <w:jc w:val="center"/>
              <w:rPr>
                <w:b/>
              </w:rPr>
            </w:pPr>
            <w:r w:rsidRPr="007C50D0">
              <w:rPr>
                <w:b/>
              </w:rPr>
              <w:t>17,6</w:t>
            </w:r>
          </w:p>
        </w:tc>
        <w:tc>
          <w:tcPr>
            <w:tcW w:w="1080" w:type="dxa"/>
            <w:tcBorders>
              <w:top w:val="single" w:sz="4" w:space="0" w:color="auto"/>
              <w:bottom w:val="double" w:sz="4" w:space="0" w:color="auto"/>
            </w:tcBorders>
            <w:vAlign w:val="center"/>
          </w:tcPr>
          <w:p w:rsidR="007C50D0" w:rsidRPr="007C50D0" w:rsidRDefault="007C50D0" w:rsidP="008619A6">
            <w:pPr>
              <w:contextualSpacing/>
              <w:jc w:val="center"/>
              <w:rPr>
                <w:b/>
              </w:rPr>
            </w:pPr>
            <w:r w:rsidRPr="007C50D0">
              <w:rPr>
                <w:b/>
              </w:rPr>
              <w:t>15,4</w:t>
            </w:r>
          </w:p>
        </w:tc>
        <w:tc>
          <w:tcPr>
            <w:tcW w:w="1076" w:type="dxa"/>
            <w:tcBorders>
              <w:top w:val="single" w:sz="4" w:space="0" w:color="auto"/>
              <w:bottom w:val="double" w:sz="4" w:space="0" w:color="auto"/>
              <w:right w:val="double" w:sz="4" w:space="0" w:color="auto"/>
            </w:tcBorders>
            <w:vAlign w:val="center"/>
          </w:tcPr>
          <w:p w:rsidR="007C50D0" w:rsidRPr="007C50D0" w:rsidRDefault="007C50D0" w:rsidP="008619A6">
            <w:pPr>
              <w:contextualSpacing/>
              <w:jc w:val="center"/>
              <w:rPr>
                <w:b/>
              </w:rPr>
            </w:pPr>
            <w:r w:rsidRPr="007C50D0">
              <w:rPr>
                <w:b/>
              </w:rPr>
              <w:t>16,2</w:t>
            </w:r>
          </w:p>
        </w:tc>
      </w:tr>
    </w:tbl>
    <w:p w:rsidR="007C50D0" w:rsidRPr="007007DF" w:rsidRDefault="007C50D0" w:rsidP="008619A6">
      <w:pPr>
        <w:ind w:firstLine="708"/>
        <w:contextualSpacing/>
        <w:jc w:val="both"/>
        <w:rPr>
          <w:sz w:val="28"/>
          <w:szCs w:val="28"/>
        </w:rPr>
      </w:pPr>
      <w:r w:rsidRPr="007C50D0">
        <w:rPr>
          <w:sz w:val="28"/>
          <w:szCs w:val="28"/>
        </w:rPr>
        <w:t xml:space="preserve">Использование метода скользящей средней позволяет говорить о сложившейся с 2014 года </w:t>
      </w:r>
      <w:proofErr w:type="gramStart"/>
      <w:r w:rsidRPr="007C50D0">
        <w:rPr>
          <w:sz w:val="28"/>
          <w:szCs w:val="28"/>
        </w:rPr>
        <w:t>тенденции уменьшения количества дел данной категории</w:t>
      </w:r>
      <w:proofErr w:type="gramEnd"/>
      <w:r w:rsidRPr="007C50D0">
        <w:rPr>
          <w:sz w:val="28"/>
          <w:szCs w:val="28"/>
        </w:rPr>
        <w:t xml:space="preserve">. </w:t>
      </w:r>
      <w:r w:rsidRPr="007007DF">
        <w:rPr>
          <w:sz w:val="28"/>
          <w:szCs w:val="28"/>
        </w:rPr>
        <w:t>Доля этих дел в общем количестве рассмотренных, напротив, постепенно снижается.</w:t>
      </w:r>
    </w:p>
    <w:p w:rsidR="007C50D0" w:rsidRDefault="007C50D0" w:rsidP="008619A6">
      <w:pPr>
        <w:ind w:firstLine="851"/>
        <w:contextualSpacing/>
        <w:jc w:val="both"/>
        <w:rPr>
          <w:sz w:val="24"/>
          <w:szCs w:val="24"/>
        </w:rPr>
      </w:pPr>
      <w:r w:rsidRPr="007C50D0">
        <w:rPr>
          <w:sz w:val="28"/>
        </w:rPr>
        <w:t xml:space="preserve">                                                                                                       Г</w:t>
      </w:r>
      <w:r w:rsidRPr="007C50D0">
        <w:rPr>
          <w:sz w:val="24"/>
          <w:szCs w:val="24"/>
        </w:rPr>
        <w:t>рафик 5</w:t>
      </w:r>
    </w:p>
    <w:p w:rsidR="005954B9" w:rsidRPr="007C50D0" w:rsidRDefault="005954B9" w:rsidP="008619A6">
      <w:pPr>
        <w:ind w:firstLine="851"/>
        <w:contextualSpacing/>
        <w:jc w:val="both"/>
        <w:rPr>
          <w:sz w:val="24"/>
          <w:szCs w:val="24"/>
        </w:rPr>
      </w:pPr>
      <w:r>
        <w:rPr>
          <w:noProof/>
        </w:rPr>
        <w:drawing>
          <wp:inline distT="0" distB="0" distL="0" distR="0" wp14:anchorId="41E3E731" wp14:editId="490E3C4D">
            <wp:extent cx="4926227" cy="2281881"/>
            <wp:effectExtent l="0" t="0" r="27305" b="2349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C50D0" w:rsidRPr="007C50D0" w:rsidRDefault="007C50D0" w:rsidP="008619A6">
      <w:pPr>
        <w:ind w:firstLine="708"/>
        <w:contextualSpacing/>
        <w:jc w:val="both"/>
        <w:rPr>
          <w:sz w:val="28"/>
          <w:szCs w:val="28"/>
        </w:rPr>
      </w:pPr>
      <w:r w:rsidRPr="007C50D0">
        <w:rPr>
          <w:sz w:val="28"/>
          <w:szCs w:val="28"/>
          <w:u w:val="single"/>
        </w:rPr>
        <w:t>Результаты рассмотрения уголовных дел</w:t>
      </w:r>
      <w:r w:rsidRPr="007C50D0">
        <w:rPr>
          <w:sz w:val="28"/>
          <w:szCs w:val="28"/>
        </w:rPr>
        <w:t xml:space="preserve"> характеризуются следующими показателями.</w:t>
      </w:r>
    </w:p>
    <w:p w:rsidR="007C50D0" w:rsidRPr="007C50D0" w:rsidRDefault="007C50D0" w:rsidP="008619A6">
      <w:pPr>
        <w:ind w:firstLine="708"/>
        <w:contextualSpacing/>
        <w:jc w:val="both"/>
        <w:rPr>
          <w:sz w:val="28"/>
          <w:szCs w:val="28"/>
        </w:rPr>
      </w:pPr>
      <w:r w:rsidRPr="007C50D0">
        <w:rPr>
          <w:sz w:val="28"/>
          <w:szCs w:val="28"/>
        </w:rPr>
        <w:t xml:space="preserve">Как и в 2016 году, наибольшее количество дел (97,3%) было рассмотрено по существу. Доля дел, рассмотренных с вынесением приговора, в 2017 году составила 80,1%, что на 4,1% меньше прошлогоднего значения данного показателя. </w:t>
      </w:r>
    </w:p>
    <w:p w:rsidR="007C50D0" w:rsidRPr="007C50D0" w:rsidRDefault="007C50D0" w:rsidP="008619A6">
      <w:pPr>
        <w:ind w:firstLine="708"/>
        <w:contextualSpacing/>
        <w:jc w:val="both"/>
        <w:rPr>
          <w:sz w:val="28"/>
          <w:szCs w:val="28"/>
        </w:rPr>
      </w:pPr>
      <w:r w:rsidRPr="007C50D0">
        <w:rPr>
          <w:sz w:val="28"/>
          <w:szCs w:val="28"/>
        </w:rPr>
        <w:t>На протяжении последних пяти лет удельный вес уголовных дел, рассмотрение которых заканчивалось вынесением приговора, стабильно снижается. В абсолютном исчислении  в 2017 году было вынесено приговоров на 3,8% меньше, чем в 2013 и на 0,2% меньше, чем в 2016 году.</w:t>
      </w:r>
    </w:p>
    <w:p w:rsidR="007C50D0" w:rsidRPr="007C50D0" w:rsidRDefault="007C50D0" w:rsidP="008619A6">
      <w:pPr>
        <w:ind w:firstLine="708"/>
        <w:contextualSpacing/>
        <w:jc w:val="both"/>
        <w:rPr>
          <w:sz w:val="28"/>
          <w:szCs w:val="28"/>
        </w:rPr>
      </w:pPr>
      <w:r w:rsidRPr="007C50D0">
        <w:rPr>
          <w:sz w:val="28"/>
          <w:szCs w:val="28"/>
        </w:rPr>
        <w:lastRenderedPageBreak/>
        <w:t>При этом 80,1% подсудимых был вынесен обвинительный приговор (на 1,5% меньше, чем в 2016 году).</w:t>
      </w:r>
    </w:p>
    <w:p w:rsidR="007C50D0" w:rsidRPr="007C50D0" w:rsidRDefault="007C50D0" w:rsidP="008619A6">
      <w:pPr>
        <w:ind w:firstLine="708"/>
        <w:contextualSpacing/>
        <w:jc w:val="both"/>
        <w:rPr>
          <w:sz w:val="28"/>
          <w:szCs w:val="28"/>
        </w:rPr>
      </w:pPr>
      <w:r w:rsidRPr="007C50D0">
        <w:rPr>
          <w:sz w:val="28"/>
          <w:szCs w:val="28"/>
        </w:rPr>
        <w:t xml:space="preserve">Доля оправданных подсудимых по-прежнему незначительна и составляет 0,3% от числа подсудимых, </w:t>
      </w:r>
      <w:proofErr w:type="gramStart"/>
      <w:r w:rsidRPr="007C50D0">
        <w:rPr>
          <w:sz w:val="28"/>
          <w:szCs w:val="28"/>
        </w:rPr>
        <w:t>дела</w:t>
      </w:r>
      <w:proofErr w:type="gramEnd"/>
      <w:r w:rsidRPr="007C50D0">
        <w:rPr>
          <w:sz w:val="28"/>
          <w:szCs w:val="28"/>
        </w:rPr>
        <w:t xml:space="preserve"> в отношении которых поступили в суд. Однако абсолютное значение данного показателя выросло по сравнению с прошлым годом в 3,4 раза и достигло максимального значения на всем интервале наблюдения (37 лиц). Доля уголовных дел, рассмотрение которых закончилось прекращением, напротив, увеличилась на 3,5% и составила 15,7% от общего количества рассмотренных. </w:t>
      </w:r>
    </w:p>
    <w:p w:rsidR="007C50D0" w:rsidRPr="007C50D0" w:rsidRDefault="007C50D0" w:rsidP="008619A6">
      <w:pPr>
        <w:ind w:firstLine="708"/>
        <w:contextualSpacing/>
        <w:jc w:val="both"/>
        <w:rPr>
          <w:sz w:val="28"/>
          <w:szCs w:val="28"/>
        </w:rPr>
      </w:pPr>
      <w:r w:rsidRPr="007C50D0">
        <w:rPr>
          <w:sz w:val="28"/>
          <w:szCs w:val="28"/>
        </w:rPr>
        <w:t>Пятилетний период наблюдения (2013-2017 годы)</w:t>
      </w:r>
      <w:r w:rsidRPr="007C50D0">
        <w:rPr>
          <w:color w:val="0000FF"/>
          <w:sz w:val="28"/>
          <w:szCs w:val="28"/>
        </w:rPr>
        <w:t xml:space="preserve"> </w:t>
      </w:r>
      <w:r w:rsidRPr="007C50D0">
        <w:rPr>
          <w:sz w:val="28"/>
          <w:szCs w:val="28"/>
        </w:rPr>
        <w:t>наглядно демонстрирует сложившуюся тенденцию уменьшения дел, завершенных вынесением приговора, и тенденцию увеличения дел, производство по которым было прекращено судами республики.</w:t>
      </w:r>
    </w:p>
    <w:p w:rsidR="007C50D0" w:rsidRDefault="007C50D0" w:rsidP="008619A6">
      <w:pPr>
        <w:ind w:firstLine="708"/>
        <w:contextualSpacing/>
        <w:jc w:val="both"/>
        <w:rPr>
          <w:sz w:val="24"/>
          <w:szCs w:val="24"/>
        </w:rPr>
      </w:pPr>
      <w:r w:rsidRPr="007C50D0">
        <w:rPr>
          <w:sz w:val="28"/>
          <w:szCs w:val="28"/>
        </w:rPr>
        <w:t xml:space="preserve">                                                                                        </w:t>
      </w:r>
      <w:r w:rsidRPr="007C50D0">
        <w:rPr>
          <w:sz w:val="24"/>
          <w:szCs w:val="24"/>
        </w:rPr>
        <w:t xml:space="preserve">Диаграмма </w:t>
      </w:r>
      <w:r w:rsidR="00C02904">
        <w:rPr>
          <w:sz w:val="24"/>
          <w:szCs w:val="24"/>
        </w:rPr>
        <w:t>14</w:t>
      </w:r>
    </w:p>
    <w:p w:rsidR="00DF165F" w:rsidRDefault="00DF165F" w:rsidP="008619A6">
      <w:pPr>
        <w:ind w:firstLine="708"/>
        <w:contextualSpacing/>
        <w:jc w:val="both"/>
        <w:rPr>
          <w:sz w:val="24"/>
          <w:szCs w:val="24"/>
        </w:rPr>
      </w:pPr>
      <w:r>
        <w:rPr>
          <w:noProof/>
        </w:rPr>
        <w:drawing>
          <wp:inline distT="0" distB="0" distL="0" distR="0" wp14:anchorId="31136834" wp14:editId="1A60CFA7">
            <wp:extent cx="4835611" cy="2652584"/>
            <wp:effectExtent l="0" t="0" r="22225" b="1460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C50D0" w:rsidRPr="007C50D0" w:rsidRDefault="007C50D0" w:rsidP="008619A6">
      <w:pPr>
        <w:ind w:firstLine="708"/>
        <w:contextualSpacing/>
        <w:jc w:val="both"/>
        <w:rPr>
          <w:sz w:val="28"/>
          <w:szCs w:val="28"/>
        </w:rPr>
      </w:pPr>
      <w:r w:rsidRPr="007C50D0">
        <w:rPr>
          <w:sz w:val="28"/>
          <w:szCs w:val="28"/>
        </w:rPr>
        <w:t>Количество лиц, в отношении которых дела были прекращены, составило 16,1% от числа подсудимых, чьи дела поступили в суд для рассмотрения. Из них только в отношении 0,3% лиц дела прекращались по реабилитирующим основаниям. Среди других оснований прекращения уголовного дела по-прежнему наибольший удельный вес имеет примирение с потерпевшим. В 2017 году доля лиц, в отношении которых дела прекращались по указанному основанию, составила 87,6%, что практически соответствует уровню прошлого года.</w:t>
      </w:r>
    </w:p>
    <w:p w:rsidR="007C50D0" w:rsidRPr="007C50D0" w:rsidRDefault="007C50D0" w:rsidP="008619A6">
      <w:pPr>
        <w:ind w:firstLine="708"/>
        <w:contextualSpacing/>
        <w:jc w:val="both"/>
        <w:rPr>
          <w:sz w:val="28"/>
          <w:szCs w:val="28"/>
        </w:rPr>
      </w:pPr>
      <w:r w:rsidRPr="007C50D0">
        <w:rPr>
          <w:sz w:val="28"/>
          <w:szCs w:val="28"/>
        </w:rPr>
        <w:t xml:space="preserve">В 2017 году производство по 129 делам было прекращено в связи с применением меры уголовно-правового характера в виде судебного штрафа, что составляет 6,4% от общего количества прекращенных дел. Общая сумма назначенного судебного штрафа составила 2896000 рублей. </w:t>
      </w:r>
    </w:p>
    <w:p w:rsidR="007C50D0" w:rsidRPr="007C50D0" w:rsidRDefault="007C50D0" w:rsidP="008619A6">
      <w:pPr>
        <w:ind w:firstLine="708"/>
        <w:contextualSpacing/>
        <w:jc w:val="both"/>
        <w:rPr>
          <w:sz w:val="28"/>
          <w:szCs w:val="28"/>
        </w:rPr>
      </w:pPr>
      <w:r w:rsidRPr="007C50D0">
        <w:rPr>
          <w:sz w:val="28"/>
          <w:szCs w:val="28"/>
        </w:rPr>
        <w:t>Дела 49 лиц (48%) были прекращены не по инициативе суда, а по ходатайствам следственных органов о назначении меры уголовно-правового характера в виде судебного штрафа. Сумма штрафа составила 1740000 рублей.</w:t>
      </w:r>
    </w:p>
    <w:p w:rsidR="007C50D0" w:rsidRPr="007C50D0" w:rsidRDefault="007C50D0" w:rsidP="008619A6">
      <w:pPr>
        <w:ind w:firstLine="708"/>
        <w:contextualSpacing/>
        <w:jc w:val="both"/>
        <w:rPr>
          <w:sz w:val="28"/>
          <w:szCs w:val="28"/>
        </w:rPr>
      </w:pPr>
      <w:r w:rsidRPr="007C50D0">
        <w:rPr>
          <w:sz w:val="28"/>
          <w:szCs w:val="28"/>
        </w:rPr>
        <w:lastRenderedPageBreak/>
        <w:t>Как и в прошлом отчетном периоде, достаточно мала доля дел, рассмотренных с применением принудительных мер медицинского характера (1,4%).</w:t>
      </w:r>
    </w:p>
    <w:p w:rsidR="007C50D0" w:rsidRPr="007C50D0" w:rsidRDefault="007C50D0" w:rsidP="008619A6">
      <w:pPr>
        <w:ind w:firstLine="708"/>
        <w:contextualSpacing/>
        <w:jc w:val="both"/>
        <w:rPr>
          <w:sz w:val="28"/>
          <w:szCs w:val="28"/>
        </w:rPr>
      </w:pPr>
      <w:r w:rsidRPr="007C50D0">
        <w:rPr>
          <w:sz w:val="28"/>
          <w:szCs w:val="28"/>
        </w:rPr>
        <w:t xml:space="preserve">Для устранения недостатков, препятствующих рассмотрению дела судом, 124 уголовных дела в 2017 году было возвращено прокурору в соответствии со статьей 237 УПК РФ. В относительном исчислении это составляет 1,1% от числа всех поступивших уголовных дел (в 2016 году — 1,0%). Несмотря на некоторое увеличение дел, возвращенных прокурору, статистические показатели 2017 года не нарушают сложившуюся тенденцию уменьшения количества дел, с данным результатом рассмотрения. </w:t>
      </w:r>
    </w:p>
    <w:p w:rsidR="007C50D0" w:rsidRPr="007C50D0" w:rsidRDefault="007C50D0" w:rsidP="008619A6">
      <w:pPr>
        <w:ind w:firstLine="708"/>
        <w:contextualSpacing/>
        <w:jc w:val="both"/>
        <w:rPr>
          <w:sz w:val="24"/>
          <w:szCs w:val="24"/>
        </w:rPr>
      </w:pPr>
      <w:r w:rsidRPr="007C50D0">
        <w:rPr>
          <w:sz w:val="24"/>
          <w:szCs w:val="24"/>
        </w:rPr>
        <w:t xml:space="preserve">                                                                                                               Таблица </w:t>
      </w:r>
      <w:r w:rsidR="00C02904">
        <w:rPr>
          <w:sz w:val="24"/>
          <w:szCs w:val="24"/>
        </w:rPr>
        <w:t>1</w:t>
      </w:r>
      <w:r w:rsidRPr="007C50D0">
        <w:rPr>
          <w:sz w:val="24"/>
          <w:szCs w:val="24"/>
        </w:rPr>
        <w:t>9</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9"/>
        <w:gridCol w:w="992"/>
        <w:gridCol w:w="992"/>
        <w:gridCol w:w="851"/>
        <w:gridCol w:w="850"/>
      </w:tblGrid>
      <w:tr w:rsidR="007C50D0" w:rsidRPr="007C50D0" w:rsidTr="00F87304">
        <w:trPr>
          <w:trHeight w:val="285"/>
        </w:trPr>
        <w:tc>
          <w:tcPr>
            <w:tcW w:w="9214" w:type="dxa"/>
            <w:gridSpan w:val="6"/>
            <w:tcBorders>
              <w:top w:val="doub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Количество  уголовных дел, возвращенных прокурору (ст. 237 УПК РФ)</w:t>
            </w:r>
          </w:p>
        </w:tc>
      </w:tr>
      <w:tr w:rsidR="007C50D0" w:rsidRPr="007C50D0" w:rsidTr="00F87304">
        <w:trPr>
          <w:trHeight w:val="66"/>
        </w:trPr>
        <w:tc>
          <w:tcPr>
            <w:tcW w:w="4560" w:type="dxa"/>
            <w:tcBorders>
              <w:left w:val="doub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p>
        </w:tc>
        <w:tc>
          <w:tcPr>
            <w:tcW w:w="969"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992"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992"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851"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850" w:type="dxa"/>
            <w:tcBorders>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F87304">
        <w:trPr>
          <w:trHeight w:val="180"/>
        </w:trPr>
        <w:tc>
          <w:tcPr>
            <w:tcW w:w="4560" w:type="dxa"/>
            <w:tcBorders>
              <w:top w:val="thickThinLargeGap" w:sz="24" w:space="0" w:color="auto"/>
              <w:left w:val="double" w:sz="4" w:space="0" w:color="auto"/>
            </w:tcBorders>
            <w:vAlign w:val="center"/>
          </w:tcPr>
          <w:p w:rsidR="007C50D0" w:rsidRPr="007C50D0" w:rsidRDefault="007C50D0" w:rsidP="008619A6">
            <w:pPr>
              <w:contextualSpacing/>
              <w:jc w:val="center"/>
              <w:rPr>
                <w:b/>
                <w:sz w:val="24"/>
                <w:szCs w:val="24"/>
              </w:rPr>
            </w:pPr>
            <w:r w:rsidRPr="007C50D0">
              <w:rPr>
                <w:b/>
                <w:sz w:val="24"/>
                <w:szCs w:val="24"/>
              </w:rPr>
              <w:t>Количество  дел</w:t>
            </w:r>
          </w:p>
        </w:tc>
        <w:tc>
          <w:tcPr>
            <w:tcW w:w="969" w:type="dxa"/>
            <w:tcBorders>
              <w:top w:val="thickThinLargeGap" w:sz="24" w:space="0" w:color="auto"/>
            </w:tcBorders>
            <w:vAlign w:val="center"/>
          </w:tcPr>
          <w:p w:rsidR="007C50D0" w:rsidRPr="007C50D0" w:rsidRDefault="007C50D0" w:rsidP="008619A6">
            <w:pPr>
              <w:contextualSpacing/>
              <w:jc w:val="center"/>
              <w:rPr>
                <w:i/>
                <w:sz w:val="24"/>
                <w:szCs w:val="24"/>
              </w:rPr>
            </w:pPr>
            <w:r w:rsidRPr="007C50D0">
              <w:rPr>
                <w:i/>
                <w:sz w:val="24"/>
                <w:szCs w:val="24"/>
              </w:rPr>
              <w:t>186</w:t>
            </w:r>
          </w:p>
        </w:tc>
        <w:tc>
          <w:tcPr>
            <w:tcW w:w="992" w:type="dxa"/>
            <w:tcBorders>
              <w:top w:val="thickThinLargeGap" w:sz="24" w:space="0" w:color="auto"/>
            </w:tcBorders>
            <w:vAlign w:val="center"/>
          </w:tcPr>
          <w:p w:rsidR="007C50D0" w:rsidRPr="007C50D0" w:rsidRDefault="007C50D0" w:rsidP="008619A6">
            <w:pPr>
              <w:contextualSpacing/>
              <w:jc w:val="center"/>
              <w:rPr>
                <w:i/>
                <w:sz w:val="24"/>
                <w:szCs w:val="24"/>
              </w:rPr>
            </w:pPr>
            <w:r w:rsidRPr="007C50D0">
              <w:rPr>
                <w:i/>
                <w:sz w:val="24"/>
                <w:szCs w:val="24"/>
              </w:rPr>
              <w:t>135</w:t>
            </w:r>
          </w:p>
        </w:tc>
        <w:tc>
          <w:tcPr>
            <w:tcW w:w="992" w:type="dxa"/>
            <w:tcBorders>
              <w:top w:val="thickThinLargeGap" w:sz="24" w:space="0" w:color="auto"/>
            </w:tcBorders>
            <w:vAlign w:val="center"/>
          </w:tcPr>
          <w:p w:rsidR="007C50D0" w:rsidRPr="007C50D0" w:rsidRDefault="007C50D0" w:rsidP="008619A6">
            <w:pPr>
              <w:contextualSpacing/>
              <w:jc w:val="center"/>
              <w:rPr>
                <w:i/>
                <w:sz w:val="24"/>
                <w:szCs w:val="24"/>
              </w:rPr>
            </w:pPr>
            <w:r w:rsidRPr="007C50D0">
              <w:rPr>
                <w:i/>
                <w:sz w:val="24"/>
                <w:szCs w:val="24"/>
              </w:rPr>
              <w:t>126</w:t>
            </w:r>
          </w:p>
        </w:tc>
        <w:tc>
          <w:tcPr>
            <w:tcW w:w="851" w:type="dxa"/>
            <w:tcBorders>
              <w:top w:val="thickThinLargeGap" w:sz="24" w:space="0" w:color="auto"/>
            </w:tcBorders>
            <w:vAlign w:val="center"/>
          </w:tcPr>
          <w:p w:rsidR="007C50D0" w:rsidRPr="007C50D0" w:rsidRDefault="007C50D0" w:rsidP="008619A6">
            <w:pPr>
              <w:contextualSpacing/>
              <w:jc w:val="center"/>
              <w:rPr>
                <w:i/>
                <w:sz w:val="24"/>
                <w:szCs w:val="24"/>
              </w:rPr>
            </w:pPr>
            <w:r w:rsidRPr="007C50D0">
              <w:rPr>
                <w:i/>
                <w:sz w:val="24"/>
                <w:szCs w:val="24"/>
              </w:rPr>
              <w:t>107</w:t>
            </w:r>
          </w:p>
        </w:tc>
        <w:tc>
          <w:tcPr>
            <w:tcW w:w="850" w:type="dxa"/>
            <w:tcBorders>
              <w:top w:val="thickThinLargeGap" w:sz="24" w:space="0" w:color="auto"/>
              <w:right w:val="double" w:sz="4" w:space="0" w:color="auto"/>
            </w:tcBorders>
            <w:vAlign w:val="center"/>
          </w:tcPr>
          <w:p w:rsidR="007C50D0" w:rsidRPr="007C50D0" w:rsidRDefault="007C50D0" w:rsidP="008619A6">
            <w:pPr>
              <w:contextualSpacing/>
              <w:jc w:val="center"/>
              <w:rPr>
                <w:i/>
                <w:sz w:val="24"/>
                <w:szCs w:val="24"/>
              </w:rPr>
            </w:pPr>
            <w:r w:rsidRPr="007C50D0">
              <w:rPr>
                <w:i/>
                <w:sz w:val="24"/>
                <w:szCs w:val="24"/>
              </w:rPr>
              <w:t>124</w:t>
            </w:r>
          </w:p>
        </w:tc>
      </w:tr>
      <w:tr w:rsidR="007C50D0" w:rsidRPr="007C50D0" w:rsidTr="00F87304">
        <w:trPr>
          <w:trHeight w:val="323"/>
        </w:trPr>
        <w:tc>
          <w:tcPr>
            <w:tcW w:w="4560" w:type="dxa"/>
            <w:tcBorders>
              <w:top w:val="single" w:sz="4" w:space="0" w:color="auto"/>
              <w:left w:val="double" w:sz="4" w:space="0" w:color="auto"/>
              <w:bottom w:val="double" w:sz="4" w:space="0" w:color="auto"/>
            </w:tcBorders>
            <w:vAlign w:val="center"/>
          </w:tcPr>
          <w:p w:rsidR="007C50D0" w:rsidRPr="007C50D0" w:rsidRDefault="007C50D0" w:rsidP="008619A6">
            <w:pPr>
              <w:contextualSpacing/>
              <w:jc w:val="center"/>
              <w:rPr>
                <w:b/>
                <w:sz w:val="24"/>
                <w:szCs w:val="24"/>
              </w:rPr>
            </w:pPr>
            <w:r w:rsidRPr="007C50D0">
              <w:rPr>
                <w:b/>
                <w:sz w:val="24"/>
                <w:szCs w:val="24"/>
              </w:rPr>
              <w:t>Доля в общем количестве поступивших уголовных дел</w:t>
            </w:r>
            <w:proofErr w:type="gramStart"/>
            <w:r w:rsidRPr="007C50D0">
              <w:rPr>
                <w:b/>
                <w:sz w:val="24"/>
                <w:szCs w:val="24"/>
              </w:rPr>
              <w:t xml:space="preserve"> (%)</w:t>
            </w:r>
            <w:proofErr w:type="gramEnd"/>
          </w:p>
        </w:tc>
        <w:tc>
          <w:tcPr>
            <w:tcW w:w="969" w:type="dxa"/>
            <w:tcBorders>
              <w:top w:val="single" w:sz="4" w:space="0" w:color="auto"/>
              <w:bottom w:val="double" w:sz="4" w:space="0" w:color="auto"/>
            </w:tcBorders>
            <w:vAlign w:val="center"/>
          </w:tcPr>
          <w:p w:rsidR="007C50D0" w:rsidRPr="007C50D0" w:rsidRDefault="007C50D0" w:rsidP="008619A6">
            <w:pPr>
              <w:contextualSpacing/>
              <w:jc w:val="center"/>
              <w:rPr>
                <w:b/>
                <w:i/>
                <w:sz w:val="22"/>
                <w:szCs w:val="22"/>
              </w:rPr>
            </w:pPr>
            <w:r w:rsidRPr="007C50D0">
              <w:rPr>
                <w:b/>
                <w:i/>
                <w:sz w:val="22"/>
                <w:szCs w:val="22"/>
              </w:rPr>
              <w:t>1,7</w:t>
            </w:r>
          </w:p>
        </w:tc>
        <w:tc>
          <w:tcPr>
            <w:tcW w:w="992" w:type="dxa"/>
            <w:tcBorders>
              <w:top w:val="single" w:sz="4" w:space="0" w:color="auto"/>
              <w:bottom w:val="double" w:sz="4" w:space="0" w:color="auto"/>
            </w:tcBorders>
            <w:vAlign w:val="center"/>
          </w:tcPr>
          <w:p w:rsidR="007C50D0" w:rsidRPr="007C50D0" w:rsidRDefault="007C50D0" w:rsidP="008619A6">
            <w:pPr>
              <w:contextualSpacing/>
              <w:jc w:val="center"/>
              <w:rPr>
                <w:b/>
                <w:i/>
                <w:sz w:val="22"/>
                <w:szCs w:val="22"/>
              </w:rPr>
            </w:pPr>
            <w:r w:rsidRPr="007C50D0">
              <w:rPr>
                <w:b/>
                <w:i/>
                <w:sz w:val="22"/>
                <w:szCs w:val="22"/>
              </w:rPr>
              <w:t>1,3</w:t>
            </w:r>
          </w:p>
        </w:tc>
        <w:tc>
          <w:tcPr>
            <w:tcW w:w="992" w:type="dxa"/>
            <w:tcBorders>
              <w:top w:val="single" w:sz="4" w:space="0" w:color="auto"/>
              <w:bottom w:val="double" w:sz="4" w:space="0" w:color="auto"/>
            </w:tcBorders>
            <w:vAlign w:val="center"/>
          </w:tcPr>
          <w:p w:rsidR="007C50D0" w:rsidRPr="007C50D0" w:rsidRDefault="007C50D0" w:rsidP="008619A6">
            <w:pPr>
              <w:contextualSpacing/>
              <w:jc w:val="center"/>
              <w:rPr>
                <w:b/>
                <w:i/>
                <w:sz w:val="22"/>
                <w:szCs w:val="22"/>
              </w:rPr>
            </w:pPr>
            <w:r w:rsidRPr="007C50D0">
              <w:rPr>
                <w:b/>
                <w:i/>
                <w:sz w:val="22"/>
                <w:szCs w:val="22"/>
              </w:rPr>
              <w:t>1,2</w:t>
            </w:r>
          </w:p>
        </w:tc>
        <w:tc>
          <w:tcPr>
            <w:tcW w:w="851" w:type="dxa"/>
            <w:tcBorders>
              <w:top w:val="single" w:sz="4" w:space="0" w:color="auto"/>
              <w:bottom w:val="double" w:sz="4" w:space="0" w:color="auto"/>
            </w:tcBorders>
            <w:vAlign w:val="center"/>
          </w:tcPr>
          <w:p w:rsidR="007C50D0" w:rsidRPr="007C50D0" w:rsidRDefault="007C50D0" w:rsidP="008619A6">
            <w:pPr>
              <w:contextualSpacing/>
              <w:jc w:val="center"/>
              <w:rPr>
                <w:b/>
                <w:i/>
                <w:sz w:val="22"/>
                <w:szCs w:val="22"/>
              </w:rPr>
            </w:pPr>
            <w:r w:rsidRPr="007C50D0">
              <w:rPr>
                <w:b/>
                <w:i/>
                <w:sz w:val="22"/>
                <w:szCs w:val="22"/>
              </w:rPr>
              <w:t>1,0</w:t>
            </w:r>
          </w:p>
        </w:tc>
        <w:tc>
          <w:tcPr>
            <w:tcW w:w="850" w:type="dxa"/>
            <w:tcBorders>
              <w:top w:val="single" w:sz="4" w:space="0" w:color="auto"/>
              <w:bottom w:val="double" w:sz="4" w:space="0" w:color="auto"/>
              <w:right w:val="double" w:sz="4" w:space="0" w:color="auto"/>
            </w:tcBorders>
            <w:vAlign w:val="center"/>
          </w:tcPr>
          <w:p w:rsidR="007C50D0" w:rsidRPr="007C50D0" w:rsidRDefault="007C50D0" w:rsidP="008619A6">
            <w:pPr>
              <w:contextualSpacing/>
              <w:jc w:val="center"/>
              <w:rPr>
                <w:b/>
                <w:i/>
                <w:sz w:val="22"/>
                <w:szCs w:val="22"/>
              </w:rPr>
            </w:pPr>
            <w:r w:rsidRPr="007C50D0">
              <w:rPr>
                <w:b/>
                <w:i/>
                <w:sz w:val="22"/>
                <w:szCs w:val="22"/>
              </w:rPr>
              <w:t>1,1</w:t>
            </w:r>
          </w:p>
        </w:tc>
      </w:tr>
    </w:tbl>
    <w:p w:rsidR="007C50D0" w:rsidRPr="007C50D0" w:rsidRDefault="007C50D0" w:rsidP="008619A6">
      <w:pPr>
        <w:ind w:firstLine="708"/>
        <w:contextualSpacing/>
        <w:jc w:val="both"/>
        <w:rPr>
          <w:sz w:val="28"/>
          <w:szCs w:val="28"/>
        </w:rPr>
      </w:pPr>
      <w:r w:rsidRPr="007C50D0">
        <w:rPr>
          <w:sz w:val="28"/>
          <w:szCs w:val="28"/>
        </w:rPr>
        <w:t xml:space="preserve">Увеличилось количество дел, рассмотренных с применением особого порядка судебного разбирательства (+6,2%), и составило 7286 дел. В 2017 году, как и в прошлом отчетном периоде, с применением такой процессуальной нормы было рассмотрено более половины уголовных дел — 65,4%. </w:t>
      </w:r>
    </w:p>
    <w:p w:rsidR="007C50D0" w:rsidRPr="007C50D0" w:rsidRDefault="007C50D0" w:rsidP="008619A6">
      <w:pPr>
        <w:ind w:firstLine="708"/>
        <w:contextualSpacing/>
        <w:jc w:val="both"/>
        <w:rPr>
          <w:sz w:val="28"/>
          <w:szCs w:val="28"/>
        </w:rPr>
      </w:pPr>
      <w:r w:rsidRPr="007C50D0">
        <w:rPr>
          <w:sz w:val="28"/>
          <w:szCs w:val="28"/>
          <w:u w:val="single"/>
        </w:rPr>
        <w:t>Карательная практика районных (городских) судов</w:t>
      </w:r>
      <w:r w:rsidRPr="007C50D0">
        <w:rPr>
          <w:sz w:val="28"/>
          <w:szCs w:val="28"/>
        </w:rPr>
        <w:t xml:space="preserve"> при рассмотрении дел в первой инстанции характеризуется следующими показателями.</w:t>
      </w:r>
    </w:p>
    <w:p w:rsidR="007C50D0" w:rsidRPr="007C50D0" w:rsidRDefault="007C50D0" w:rsidP="008619A6">
      <w:pPr>
        <w:ind w:firstLine="708"/>
        <w:contextualSpacing/>
        <w:jc w:val="both"/>
        <w:rPr>
          <w:sz w:val="28"/>
          <w:szCs w:val="28"/>
        </w:rPr>
      </w:pPr>
      <w:r w:rsidRPr="007C50D0">
        <w:rPr>
          <w:sz w:val="28"/>
          <w:szCs w:val="28"/>
        </w:rPr>
        <w:t xml:space="preserve">Общая численность лиц, осужденных районными и городскими судами в первой инстанции к различным мерам наказания, уменьшилась на 2,5% по сравнению с прошлым годом и составила в 2016 году 10126 человек. </w:t>
      </w:r>
    </w:p>
    <w:p w:rsidR="007C50D0" w:rsidRPr="007C50D0" w:rsidRDefault="007C50D0" w:rsidP="008619A6">
      <w:pPr>
        <w:ind w:firstLine="708"/>
        <w:contextualSpacing/>
        <w:jc w:val="both"/>
        <w:rPr>
          <w:sz w:val="28"/>
          <w:szCs w:val="28"/>
        </w:rPr>
      </w:pPr>
      <w:r w:rsidRPr="007C50D0">
        <w:rPr>
          <w:sz w:val="28"/>
          <w:szCs w:val="28"/>
        </w:rPr>
        <w:t>Наиболее весомую группу в общем количестве осужденных лиц составляют приговоренные к условным мерам наказания, в общей сложности это 4222 человека, или 41,7% от общего количества осужденных (уровень прошлого года составлял 39,8%).</w:t>
      </w:r>
    </w:p>
    <w:p w:rsidR="007C50D0" w:rsidRPr="007C50D0" w:rsidRDefault="007C50D0" w:rsidP="008619A6">
      <w:pPr>
        <w:ind w:firstLine="708"/>
        <w:contextualSpacing/>
        <w:jc w:val="both"/>
        <w:rPr>
          <w:sz w:val="28"/>
          <w:szCs w:val="28"/>
        </w:rPr>
      </w:pPr>
      <w:r w:rsidRPr="007C50D0">
        <w:rPr>
          <w:sz w:val="28"/>
          <w:szCs w:val="28"/>
        </w:rPr>
        <w:t xml:space="preserve">К реальному лишению свободы в 2016 году приговорено 4092 человека, или 40,4% от общего количества осужденных (2016 год – 38,9%). </w:t>
      </w:r>
    </w:p>
    <w:p w:rsidR="007C50D0" w:rsidRPr="007C50D0" w:rsidRDefault="007C50D0" w:rsidP="008619A6">
      <w:pPr>
        <w:ind w:firstLine="708"/>
        <w:contextualSpacing/>
        <w:jc w:val="both"/>
        <w:rPr>
          <w:sz w:val="28"/>
          <w:szCs w:val="28"/>
        </w:rPr>
      </w:pPr>
      <w:r w:rsidRPr="007C50D0">
        <w:rPr>
          <w:sz w:val="28"/>
          <w:szCs w:val="28"/>
        </w:rPr>
        <w:t>Мера наказания в виде штрафа применялась в отношении 10,6% осужденных (в 2016 году – в отношении 11,2% осужденных). Абсолютное количество таких лиц уменьшилось по сравнению с прошлым годом на 5,1%.</w:t>
      </w:r>
    </w:p>
    <w:p w:rsidR="007C50D0" w:rsidRPr="007C50D0" w:rsidRDefault="007C50D0" w:rsidP="008619A6">
      <w:pPr>
        <w:ind w:firstLine="708"/>
        <w:contextualSpacing/>
        <w:jc w:val="both"/>
        <w:rPr>
          <w:sz w:val="28"/>
          <w:szCs w:val="28"/>
        </w:rPr>
      </w:pPr>
      <w:r w:rsidRPr="007C50D0">
        <w:rPr>
          <w:sz w:val="28"/>
          <w:szCs w:val="28"/>
        </w:rPr>
        <w:t xml:space="preserve">На 21,7% уменьшилось количество лиц, приговоренных к обязательным и исправительным работам. В 2016 году эта группа лиц составляла 825 человек, в 2017 году – 646 человек. </w:t>
      </w:r>
    </w:p>
    <w:p w:rsidR="007C50D0" w:rsidRPr="007C50D0" w:rsidRDefault="007C50D0" w:rsidP="008619A6">
      <w:pPr>
        <w:ind w:firstLine="708"/>
        <w:contextualSpacing/>
        <w:jc w:val="both"/>
        <w:rPr>
          <w:sz w:val="28"/>
          <w:szCs w:val="28"/>
        </w:rPr>
      </w:pPr>
      <w:r w:rsidRPr="007C50D0">
        <w:rPr>
          <w:sz w:val="28"/>
          <w:szCs w:val="28"/>
        </w:rPr>
        <w:t>По сравнению с 2016 годом на 10,7% увеличилось количество подсудимых, приговоренных к ограничению свободы. Вместе с этим удельный вес лиц, приговоренных к этой мере наказания, невелик и составляет 2,2% от общего количества осужденных (в 2016 году – 2,0%)..</w:t>
      </w:r>
    </w:p>
    <w:p w:rsidR="007C50D0" w:rsidRPr="007C50D0" w:rsidRDefault="007C50D0" w:rsidP="008619A6">
      <w:pPr>
        <w:ind w:firstLine="708"/>
        <w:contextualSpacing/>
        <w:jc w:val="both"/>
        <w:rPr>
          <w:sz w:val="28"/>
          <w:szCs w:val="28"/>
        </w:rPr>
      </w:pPr>
      <w:proofErr w:type="gramStart"/>
      <w:r w:rsidRPr="007C50D0">
        <w:rPr>
          <w:sz w:val="28"/>
          <w:szCs w:val="28"/>
        </w:rPr>
        <w:t xml:space="preserve">В соответствии с представленными статданными в течение последних пяти лет такие меры наказания как «Принудительные работы» и «Арест» районными (городскими) судами Республики Татарстан не применялись. </w:t>
      </w:r>
      <w:proofErr w:type="gramEnd"/>
    </w:p>
    <w:p w:rsidR="007C50D0" w:rsidRPr="007C50D0" w:rsidRDefault="007C50D0" w:rsidP="008619A6">
      <w:pPr>
        <w:ind w:firstLine="708"/>
        <w:contextualSpacing/>
        <w:jc w:val="both"/>
        <w:rPr>
          <w:sz w:val="28"/>
          <w:szCs w:val="28"/>
        </w:rPr>
      </w:pPr>
      <w:r w:rsidRPr="007C50D0">
        <w:rPr>
          <w:sz w:val="28"/>
          <w:szCs w:val="28"/>
        </w:rPr>
        <w:lastRenderedPageBreak/>
        <w:t xml:space="preserve">Динамика изменения удельного веса наиболее часто применяемых судами мер наказания представлена на Графике </w:t>
      </w:r>
      <w:r w:rsidR="005954B9">
        <w:rPr>
          <w:sz w:val="28"/>
          <w:szCs w:val="28"/>
        </w:rPr>
        <w:t>6</w:t>
      </w:r>
      <w:r w:rsidRPr="007C50D0">
        <w:rPr>
          <w:sz w:val="28"/>
          <w:szCs w:val="28"/>
        </w:rPr>
        <w:t>.</w:t>
      </w:r>
    </w:p>
    <w:p w:rsidR="007C50D0" w:rsidRDefault="007C50D0" w:rsidP="008619A6">
      <w:pPr>
        <w:ind w:firstLine="851"/>
        <w:contextualSpacing/>
        <w:jc w:val="both"/>
        <w:rPr>
          <w:sz w:val="24"/>
          <w:szCs w:val="24"/>
        </w:rPr>
      </w:pPr>
      <w:r w:rsidRPr="007C50D0">
        <w:rPr>
          <w:sz w:val="24"/>
          <w:szCs w:val="24"/>
        </w:rPr>
        <w:t xml:space="preserve">                                                                                                              График 6</w:t>
      </w:r>
    </w:p>
    <w:p w:rsidR="00F87304" w:rsidRPr="007C50D0" w:rsidRDefault="00F87304" w:rsidP="008619A6">
      <w:pPr>
        <w:ind w:firstLine="851"/>
        <w:contextualSpacing/>
        <w:jc w:val="both"/>
        <w:rPr>
          <w:sz w:val="24"/>
          <w:szCs w:val="24"/>
        </w:rPr>
      </w:pPr>
      <w:r>
        <w:rPr>
          <w:noProof/>
        </w:rPr>
        <w:drawing>
          <wp:inline distT="0" distB="0" distL="0" distR="0" wp14:anchorId="653E2E11" wp14:editId="72DA5048">
            <wp:extent cx="4885038" cy="2594919"/>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C50D0" w:rsidRPr="007C50D0" w:rsidRDefault="007C50D0" w:rsidP="008619A6">
      <w:pPr>
        <w:ind w:firstLine="851"/>
        <w:contextualSpacing/>
        <w:jc w:val="both"/>
        <w:rPr>
          <w:sz w:val="28"/>
        </w:rPr>
      </w:pPr>
      <w:r w:rsidRPr="007C50D0">
        <w:rPr>
          <w:sz w:val="28"/>
          <w:u w:val="single"/>
        </w:rPr>
        <w:t>Общее количество ходатайств, представлений и жалоб</w:t>
      </w:r>
      <w:r w:rsidRPr="007C50D0">
        <w:rPr>
          <w:sz w:val="28"/>
        </w:rPr>
        <w:t>, рассмотренных районными (городскими) судами в порядке судебного исполнения и контроля в 2017 году уменьшилось по сравнению с прошлым отчетным периодом на 4,3% и составило в общей сложности 82957 рассмотренных материалов. Значительная доля материалов по представлениям, ходатайствам и жалобам была удовлетворена – 85,9% (+1,2%).</w:t>
      </w:r>
    </w:p>
    <w:p w:rsidR="007C50D0" w:rsidRPr="007C50D0" w:rsidRDefault="007C50D0" w:rsidP="008619A6">
      <w:pPr>
        <w:ind w:firstLine="851"/>
        <w:contextualSpacing/>
        <w:jc w:val="both"/>
        <w:rPr>
          <w:spacing w:val="-6"/>
          <w:sz w:val="28"/>
        </w:rPr>
      </w:pPr>
      <w:r w:rsidRPr="007C50D0">
        <w:rPr>
          <w:spacing w:val="-6"/>
          <w:sz w:val="28"/>
        </w:rPr>
        <w:t>Наибольший удельный вес по-прежнему приходится на ходатайства, рассмотренные в связи с производством следственных действий и проведением оперативно-розыскных мероприятий, и составляет в общем количестве материалов 63,7%, что на 4,9% больше уровня прошлого года</w:t>
      </w:r>
      <w:r w:rsidRPr="007C50D0">
        <w:rPr>
          <w:spacing w:val="-6"/>
          <w:sz w:val="28"/>
          <w:szCs w:val="28"/>
        </w:rPr>
        <w:t xml:space="preserve">. В общей сложности рассмотрено 52947 таких материалов. </w:t>
      </w:r>
      <w:proofErr w:type="gramStart"/>
      <w:r w:rsidRPr="007C50D0">
        <w:rPr>
          <w:spacing w:val="-6"/>
          <w:sz w:val="28"/>
          <w:szCs w:val="28"/>
        </w:rPr>
        <w:t>Как и в 2016 году, подавляющее большинство ходатайств такого рода (85,9 %) районными (городским) судами республики было удовлетворено (в 2016 году – 84,7%).</w:t>
      </w:r>
      <w:proofErr w:type="gramEnd"/>
    </w:p>
    <w:p w:rsidR="007C50D0" w:rsidRPr="007C50D0" w:rsidRDefault="007C50D0" w:rsidP="008619A6">
      <w:pPr>
        <w:ind w:firstLine="851"/>
        <w:contextualSpacing/>
        <w:jc w:val="both"/>
        <w:rPr>
          <w:spacing w:val="-6"/>
          <w:sz w:val="28"/>
        </w:rPr>
      </w:pPr>
      <w:r w:rsidRPr="007C50D0">
        <w:rPr>
          <w:spacing w:val="-6"/>
          <w:sz w:val="28"/>
        </w:rPr>
        <w:t xml:space="preserve">Доля ходатайств </w:t>
      </w:r>
      <w:proofErr w:type="gramStart"/>
      <w:r w:rsidRPr="007C50D0">
        <w:rPr>
          <w:spacing w:val="-6"/>
          <w:sz w:val="28"/>
        </w:rPr>
        <w:t>об избрании меры пресечения в виде заключения под стражу в совокупности с ходатайствами</w:t>
      </w:r>
      <w:proofErr w:type="gramEnd"/>
      <w:r w:rsidRPr="007C50D0">
        <w:rPr>
          <w:spacing w:val="-6"/>
          <w:sz w:val="28"/>
        </w:rPr>
        <w:t xml:space="preserve"> о продлении срока содержания под стражей в общей массе рассмотренных материалов составила в 2017 году 7,6%, что на 1,2% меньше прошлогоднего значения. В абсолютном исчислении этот показатель снизился на 15,2% и составил 6283 материала. Подавляющее большинство из них – 95,8%– как и в прошлом отчетном периоде, удовлетворено. </w:t>
      </w:r>
    </w:p>
    <w:p w:rsidR="007C50D0" w:rsidRPr="007C50D0" w:rsidRDefault="007C50D0" w:rsidP="008619A6">
      <w:pPr>
        <w:ind w:firstLine="851"/>
        <w:contextualSpacing/>
        <w:jc w:val="both"/>
        <w:rPr>
          <w:spacing w:val="-6"/>
          <w:sz w:val="28"/>
        </w:rPr>
      </w:pPr>
      <w:r w:rsidRPr="007C50D0">
        <w:rPr>
          <w:spacing w:val="-6"/>
          <w:sz w:val="28"/>
        </w:rPr>
        <w:t>Судами рассмотрено 2577 ходатайства об условно-досрочном освобождении, их удельный вес в общем количестве рассмотренных материалов составляет 3,1%. В абсолютном исчислении количество ходатайств данной категории уменьшилось по сравнению с 2016 годом на 10,8%, число удовлетворенных ходатайств составило 40%, что на 5,4% больше, чем в прошлом отчетном периоде.</w:t>
      </w:r>
    </w:p>
    <w:p w:rsidR="007C50D0" w:rsidRDefault="007C50D0" w:rsidP="008619A6">
      <w:pPr>
        <w:ind w:firstLine="851"/>
        <w:contextualSpacing/>
        <w:jc w:val="both"/>
        <w:rPr>
          <w:spacing w:val="-6"/>
          <w:sz w:val="28"/>
        </w:rPr>
      </w:pPr>
      <w:r w:rsidRPr="007C50D0">
        <w:rPr>
          <w:spacing w:val="-6"/>
          <w:sz w:val="28"/>
        </w:rPr>
        <w:t xml:space="preserve">Пятилетний интервал наблюдения подтверждает сложившуюся за последние годы тенденцию уменьшения общего количества ходатайств, </w:t>
      </w:r>
      <w:r w:rsidRPr="007C50D0">
        <w:rPr>
          <w:spacing w:val="-6"/>
          <w:sz w:val="28"/>
        </w:rPr>
        <w:lastRenderedPageBreak/>
        <w:t>связанных со смягчением или освобождением осужденного от наказания («Условно-досрочное освобождение», «Замена не отбытой части наказания более мягким видом наказания», «Предоставление отсрочки», «Освобождение от наказания в связи с болезнью осужденного» и др.). Всего в 2017 году было рассмотрено 4943 материала этой группы, что на 2,0% меньше, чем в 2016 году. Данные, представленные на Графике 8, демонстрируют сложившуюся за последние пять лет тенденцию роста удельного веса удовлетворенных ходатайств о смягчении или освобождении от наказания в общем количестве материалов данной группы. В 2017 году показатель увеличился на 5,3%. Если в 2016 году было удовлетворено 35,1% таких ходатайств, то в 2017 году доля удовлетворенных ходатайств в данной группе составила 40,4% или 1998 материалов.</w:t>
      </w:r>
    </w:p>
    <w:p w:rsidR="007C50D0" w:rsidRPr="007C50D0" w:rsidRDefault="007C50D0" w:rsidP="008619A6">
      <w:pPr>
        <w:ind w:firstLine="851"/>
        <w:contextualSpacing/>
        <w:jc w:val="both"/>
        <w:rPr>
          <w:sz w:val="24"/>
          <w:szCs w:val="24"/>
        </w:rPr>
      </w:pPr>
      <w:r w:rsidRPr="007C50D0">
        <w:rPr>
          <w:spacing w:val="-6"/>
          <w:sz w:val="28"/>
        </w:rPr>
        <w:t xml:space="preserve">               </w:t>
      </w:r>
      <w:r w:rsidRPr="007C50D0">
        <w:rPr>
          <w:sz w:val="24"/>
          <w:szCs w:val="24"/>
        </w:rPr>
        <w:t xml:space="preserve">            Диаграмма </w:t>
      </w:r>
      <w:r w:rsidR="00C02904">
        <w:rPr>
          <w:sz w:val="24"/>
          <w:szCs w:val="24"/>
        </w:rPr>
        <w:t>1</w:t>
      </w:r>
      <w:r w:rsidRPr="007C50D0">
        <w:rPr>
          <w:sz w:val="24"/>
          <w:szCs w:val="24"/>
        </w:rPr>
        <w:t xml:space="preserve">4       </w:t>
      </w:r>
      <w:r w:rsidR="00CC58F9">
        <w:rPr>
          <w:sz w:val="24"/>
          <w:szCs w:val="24"/>
        </w:rPr>
        <w:t xml:space="preserve">   </w:t>
      </w:r>
      <w:r w:rsidRPr="007C50D0">
        <w:rPr>
          <w:sz w:val="24"/>
          <w:szCs w:val="24"/>
        </w:rPr>
        <w:t xml:space="preserve">                                                 График 7</w:t>
      </w:r>
    </w:p>
    <w:tbl>
      <w:tblPr>
        <w:tblW w:w="9498" w:type="dxa"/>
        <w:tblInd w:w="108" w:type="dxa"/>
        <w:tblBorders>
          <w:insideH w:val="single" w:sz="4" w:space="0" w:color="auto"/>
        </w:tblBorders>
        <w:tblLayout w:type="fixed"/>
        <w:tblLook w:val="04A0" w:firstRow="1" w:lastRow="0" w:firstColumn="1" w:lastColumn="0" w:noHBand="0" w:noVBand="1"/>
      </w:tblPr>
      <w:tblGrid>
        <w:gridCol w:w="4820"/>
        <w:gridCol w:w="4678"/>
      </w:tblGrid>
      <w:tr w:rsidR="007C50D0" w:rsidRPr="007C50D0" w:rsidTr="00CC58F9">
        <w:trPr>
          <w:trHeight w:val="3723"/>
        </w:trPr>
        <w:tc>
          <w:tcPr>
            <w:tcW w:w="4820" w:type="dxa"/>
            <w:shd w:val="clear" w:color="auto" w:fill="auto"/>
          </w:tcPr>
          <w:p w:rsidR="007C50D0" w:rsidRPr="007C50D0" w:rsidRDefault="007C50D0" w:rsidP="008619A6">
            <w:pPr>
              <w:contextualSpacing/>
              <w:jc w:val="both"/>
              <w:rPr>
                <w:color w:val="0000FF"/>
                <w:sz w:val="24"/>
                <w:szCs w:val="24"/>
              </w:rPr>
            </w:pPr>
            <w:r>
              <w:rPr>
                <w:noProof/>
              </w:rPr>
              <w:drawing>
                <wp:inline distT="0" distB="0" distL="0" distR="0" wp14:anchorId="59F8FFB8" wp14:editId="40770D96">
                  <wp:extent cx="2883244" cy="2356022"/>
                  <wp:effectExtent l="0" t="0" r="0" b="635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678" w:type="dxa"/>
            <w:shd w:val="clear" w:color="auto" w:fill="auto"/>
          </w:tcPr>
          <w:p w:rsidR="007C50D0" w:rsidRPr="007C50D0" w:rsidRDefault="007C50D0" w:rsidP="008619A6">
            <w:pPr>
              <w:contextualSpacing/>
              <w:jc w:val="both"/>
              <w:rPr>
                <w:color w:val="0000FF"/>
                <w:sz w:val="28"/>
                <w:szCs w:val="28"/>
              </w:rPr>
            </w:pPr>
            <w:r>
              <w:rPr>
                <w:noProof/>
                <w:color w:val="0000FF"/>
                <w:sz w:val="28"/>
                <w:szCs w:val="28"/>
              </w:rPr>
              <w:drawing>
                <wp:inline distT="0" distB="0" distL="0" distR="0" wp14:anchorId="325101DE" wp14:editId="68C17B56">
                  <wp:extent cx="2875006" cy="2356022"/>
                  <wp:effectExtent l="0" t="0" r="1905"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5589" cy="2364695"/>
                          </a:xfrm>
                          <a:prstGeom prst="rect">
                            <a:avLst/>
                          </a:prstGeom>
                          <a:noFill/>
                        </pic:spPr>
                      </pic:pic>
                    </a:graphicData>
                  </a:graphic>
                </wp:inline>
              </w:drawing>
            </w:r>
          </w:p>
        </w:tc>
      </w:tr>
    </w:tbl>
    <w:p w:rsidR="007C50D0" w:rsidRPr="007C50D0" w:rsidRDefault="007C50D0" w:rsidP="008619A6">
      <w:pPr>
        <w:ind w:firstLine="851"/>
        <w:contextualSpacing/>
        <w:jc w:val="both"/>
        <w:rPr>
          <w:sz w:val="28"/>
          <w:szCs w:val="28"/>
        </w:rPr>
      </w:pPr>
      <w:r w:rsidRPr="007C50D0">
        <w:rPr>
          <w:sz w:val="28"/>
          <w:szCs w:val="28"/>
        </w:rPr>
        <w:t xml:space="preserve">В этой связи интерес представляет динамика изменения группы показателей, относящихся к ужесточению наказания («Отмена условно-досрочного освобождения», «Продление и отмена срока условного осуждения в соответствии с ч. 2,3,4 ст. 74 УК РФ», «Замена исправительных работ и штрафа лишением свободы» и др.). </w:t>
      </w:r>
    </w:p>
    <w:p w:rsidR="007C50D0" w:rsidRPr="007C50D0" w:rsidRDefault="007C50D0" w:rsidP="008619A6">
      <w:pPr>
        <w:ind w:firstLine="851"/>
        <w:contextualSpacing/>
        <w:jc w:val="both"/>
        <w:rPr>
          <w:sz w:val="24"/>
          <w:szCs w:val="24"/>
        </w:rPr>
      </w:pPr>
      <w:r w:rsidRPr="007C50D0">
        <w:rPr>
          <w:sz w:val="24"/>
          <w:szCs w:val="24"/>
        </w:rPr>
        <w:t xml:space="preserve">                                 Диаграмма </w:t>
      </w:r>
      <w:r w:rsidR="00C02904">
        <w:rPr>
          <w:sz w:val="24"/>
          <w:szCs w:val="24"/>
        </w:rPr>
        <w:t>1</w:t>
      </w:r>
      <w:r w:rsidRPr="007C50D0">
        <w:rPr>
          <w:sz w:val="24"/>
          <w:szCs w:val="24"/>
        </w:rPr>
        <w:t>5                                                         График 8</w:t>
      </w:r>
    </w:p>
    <w:tbl>
      <w:tblPr>
        <w:tblW w:w="9896" w:type="dxa"/>
        <w:tblInd w:w="108" w:type="dxa"/>
        <w:tblBorders>
          <w:insideH w:val="single" w:sz="4" w:space="0" w:color="auto"/>
        </w:tblBorders>
        <w:tblLayout w:type="fixed"/>
        <w:tblLook w:val="04A0" w:firstRow="1" w:lastRow="0" w:firstColumn="1" w:lastColumn="0" w:noHBand="0" w:noVBand="1"/>
      </w:tblPr>
      <w:tblGrid>
        <w:gridCol w:w="4820"/>
        <w:gridCol w:w="5076"/>
      </w:tblGrid>
      <w:tr w:rsidR="007C50D0" w:rsidRPr="007C50D0" w:rsidTr="007C50D0">
        <w:tc>
          <w:tcPr>
            <w:tcW w:w="4820" w:type="dxa"/>
            <w:shd w:val="clear" w:color="auto" w:fill="auto"/>
          </w:tcPr>
          <w:p w:rsidR="007C50D0" w:rsidRPr="007C50D0" w:rsidRDefault="007C50D0" w:rsidP="008619A6">
            <w:pPr>
              <w:tabs>
                <w:tab w:val="left" w:pos="4422"/>
              </w:tabs>
              <w:ind w:right="284"/>
              <w:contextualSpacing/>
              <w:jc w:val="both"/>
              <w:rPr>
                <w:color w:val="0000FF"/>
                <w:sz w:val="28"/>
                <w:szCs w:val="28"/>
                <w:highlight w:val="yellow"/>
              </w:rPr>
            </w:pPr>
            <w:r>
              <w:rPr>
                <w:noProof/>
                <w:color w:val="0000FF"/>
                <w:sz w:val="28"/>
                <w:szCs w:val="28"/>
              </w:rPr>
              <w:drawing>
                <wp:inline distT="0" distB="0" distL="0" distR="0" wp14:anchorId="77455F29" wp14:editId="3B60913F">
                  <wp:extent cx="2883244" cy="242192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9417" cy="2418709"/>
                          </a:xfrm>
                          <a:prstGeom prst="rect">
                            <a:avLst/>
                          </a:prstGeom>
                          <a:noFill/>
                        </pic:spPr>
                      </pic:pic>
                    </a:graphicData>
                  </a:graphic>
                </wp:inline>
              </w:drawing>
            </w:r>
          </w:p>
        </w:tc>
        <w:tc>
          <w:tcPr>
            <w:tcW w:w="5076" w:type="dxa"/>
            <w:shd w:val="clear" w:color="auto" w:fill="auto"/>
          </w:tcPr>
          <w:p w:rsidR="007C50D0" w:rsidRPr="007C50D0" w:rsidRDefault="007C50D0" w:rsidP="008619A6">
            <w:pPr>
              <w:contextualSpacing/>
              <w:jc w:val="both"/>
              <w:rPr>
                <w:color w:val="0000FF"/>
                <w:sz w:val="28"/>
                <w:szCs w:val="28"/>
                <w:highlight w:val="yellow"/>
              </w:rPr>
            </w:pPr>
            <w:r>
              <w:rPr>
                <w:noProof/>
                <w:color w:val="0000FF"/>
                <w:sz w:val="28"/>
                <w:szCs w:val="28"/>
              </w:rPr>
              <w:drawing>
                <wp:inline distT="0" distB="0" distL="0" distR="0" wp14:anchorId="02B0E034" wp14:editId="5695D4D9">
                  <wp:extent cx="2875006" cy="2372497"/>
                  <wp:effectExtent l="0" t="0" r="1905"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7865" cy="2374856"/>
                          </a:xfrm>
                          <a:prstGeom prst="rect">
                            <a:avLst/>
                          </a:prstGeom>
                          <a:noFill/>
                        </pic:spPr>
                      </pic:pic>
                    </a:graphicData>
                  </a:graphic>
                </wp:inline>
              </w:drawing>
            </w:r>
          </w:p>
        </w:tc>
      </w:tr>
    </w:tbl>
    <w:p w:rsidR="00C02904" w:rsidRDefault="00CC58F9" w:rsidP="008619A6">
      <w:pPr>
        <w:ind w:firstLine="851"/>
        <w:contextualSpacing/>
        <w:jc w:val="both"/>
        <w:rPr>
          <w:sz w:val="28"/>
          <w:szCs w:val="28"/>
        </w:rPr>
      </w:pPr>
      <w:r w:rsidRPr="007C50D0">
        <w:rPr>
          <w:sz w:val="28"/>
          <w:szCs w:val="28"/>
        </w:rPr>
        <w:t xml:space="preserve">Статистические данные 2016 года не нарушают сложившуюся за последние пять лет тенденцию роста количества поступивших в суды материалов данной категории. При этом динамика изменения доли </w:t>
      </w:r>
      <w:r w:rsidRPr="007C50D0">
        <w:rPr>
          <w:sz w:val="28"/>
          <w:szCs w:val="28"/>
        </w:rPr>
        <w:lastRenderedPageBreak/>
        <w:t xml:space="preserve">удовлетворенных представлений в этой группе по-прежнему демонстрирует тенденцию противоположной </w:t>
      </w:r>
      <w:proofErr w:type="spellStart"/>
      <w:r w:rsidRPr="007C50D0">
        <w:rPr>
          <w:sz w:val="28"/>
          <w:szCs w:val="28"/>
        </w:rPr>
        <w:t>направленности</w:t>
      </w:r>
      <w:proofErr w:type="gramStart"/>
      <w:r w:rsidRPr="007C50D0">
        <w:rPr>
          <w:sz w:val="28"/>
          <w:szCs w:val="28"/>
        </w:rPr>
        <w:t>.</w:t>
      </w:r>
      <w:r w:rsidR="007C50D0" w:rsidRPr="007C50D0">
        <w:rPr>
          <w:sz w:val="28"/>
          <w:szCs w:val="28"/>
        </w:rPr>
        <w:t>К</w:t>
      </w:r>
      <w:proofErr w:type="gramEnd"/>
      <w:r w:rsidR="007C50D0" w:rsidRPr="007C50D0">
        <w:rPr>
          <w:sz w:val="28"/>
          <w:szCs w:val="28"/>
        </w:rPr>
        <w:t>оличество</w:t>
      </w:r>
      <w:proofErr w:type="spellEnd"/>
      <w:r w:rsidR="007C50D0" w:rsidRPr="007C50D0">
        <w:rPr>
          <w:sz w:val="28"/>
          <w:szCs w:val="28"/>
        </w:rPr>
        <w:t xml:space="preserve"> жалоб на действия должностных лиц, осуществляющих уголовное производство в порядке статьи 125 УПК РФ, в 2016 году уменьшилось на 15,0%. Удельный вес материалов этой категории незначителен и составляет — 3,8%. Всего в отчетном периоде рассмотрено 3120 материалов данной категории. Процент удовлетворенных жалоб постоянно снижается (см. Таблицу 12). </w:t>
      </w:r>
    </w:p>
    <w:p w:rsidR="007C50D0" w:rsidRPr="007C50D0" w:rsidRDefault="007C50D0" w:rsidP="008619A6">
      <w:pPr>
        <w:ind w:firstLine="851"/>
        <w:contextualSpacing/>
        <w:jc w:val="both"/>
        <w:rPr>
          <w:sz w:val="28"/>
          <w:szCs w:val="28"/>
        </w:rPr>
      </w:pPr>
      <w:r w:rsidRPr="007C50D0">
        <w:rPr>
          <w:sz w:val="28"/>
          <w:szCs w:val="28"/>
        </w:rPr>
        <w:t xml:space="preserve">                                                                                                       </w:t>
      </w:r>
      <w:r w:rsidRPr="007C50D0">
        <w:rPr>
          <w:sz w:val="24"/>
          <w:szCs w:val="24"/>
        </w:rPr>
        <w:t xml:space="preserve">Таблица </w:t>
      </w:r>
      <w:r w:rsidR="00C02904">
        <w:rPr>
          <w:sz w:val="24"/>
          <w:szCs w:val="24"/>
        </w:rPr>
        <w:t>2</w:t>
      </w:r>
      <w:r w:rsidRPr="007C50D0">
        <w:rPr>
          <w:sz w:val="24"/>
          <w:szCs w:val="24"/>
        </w:rPr>
        <w:t>0</w:t>
      </w:r>
    </w:p>
    <w:tbl>
      <w:tblPr>
        <w:tblW w:w="93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8"/>
        <w:gridCol w:w="969"/>
        <w:gridCol w:w="992"/>
        <w:gridCol w:w="992"/>
        <w:gridCol w:w="1134"/>
        <w:gridCol w:w="883"/>
      </w:tblGrid>
      <w:tr w:rsidR="007C50D0" w:rsidRPr="007C50D0" w:rsidTr="007C50D0">
        <w:trPr>
          <w:trHeight w:val="285"/>
        </w:trPr>
        <w:tc>
          <w:tcPr>
            <w:tcW w:w="9388" w:type="dxa"/>
            <w:gridSpan w:val="6"/>
            <w:tcBorders>
              <w:top w:val="doub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Количество  жалоб на действия д/лиц, осуществляющих уголовное производство в порядке ст. 125 УПК РФ</w:t>
            </w:r>
          </w:p>
        </w:tc>
      </w:tr>
      <w:tr w:rsidR="007C50D0" w:rsidRPr="007C50D0" w:rsidTr="007C50D0">
        <w:trPr>
          <w:trHeight w:val="284"/>
        </w:trPr>
        <w:tc>
          <w:tcPr>
            <w:tcW w:w="4418" w:type="dxa"/>
            <w:tcBorders>
              <w:left w:val="doub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p>
        </w:tc>
        <w:tc>
          <w:tcPr>
            <w:tcW w:w="969"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992"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992"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1134"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883" w:type="dxa"/>
            <w:tcBorders>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7C50D0">
        <w:trPr>
          <w:trHeight w:val="335"/>
        </w:trPr>
        <w:tc>
          <w:tcPr>
            <w:tcW w:w="4418" w:type="dxa"/>
            <w:tcBorders>
              <w:top w:val="thickThinLargeGap" w:sz="24" w:space="0" w:color="auto"/>
              <w:left w:val="double" w:sz="4" w:space="0" w:color="auto"/>
            </w:tcBorders>
            <w:vAlign w:val="center"/>
          </w:tcPr>
          <w:p w:rsidR="007C50D0" w:rsidRPr="007C50D0" w:rsidRDefault="007C50D0" w:rsidP="008619A6">
            <w:pPr>
              <w:contextualSpacing/>
              <w:jc w:val="center"/>
              <w:rPr>
                <w:b/>
                <w:sz w:val="24"/>
                <w:szCs w:val="24"/>
              </w:rPr>
            </w:pPr>
            <w:r w:rsidRPr="007C50D0">
              <w:rPr>
                <w:b/>
                <w:sz w:val="24"/>
                <w:szCs w:val="24"/>
              </w:rPr>
              <w:t>Рассмотрено жалоб</w:t>
            </w:r>
          </w:p>
        </w:tc>
        <w:tc>
          <w:tcPr>
            <w:tcW w:w="969" w:type="dxa"/>
            <w:tcBorders>
              <w:top w:val="thickThinLargeGap" w:sz="24" w:space="0" w:color="auto"/>
            </w:tcBorders>
            <w:vAlign w:val="center"/>
          </w:tcPr>
          <w:p w:rsidR="007C50D0" w:rsidRPr="007C50D0" w:rsidRDefault="007C50D0" w:rsidP="008619A6">
            <w:pPr>
              <w:contextualSpacing/>
              <w:jc w:val="center"/>
              <w:rPr>
                <w:b/>
                <w:sz w:val="24"/>
                <w:szCs w:val="24"/>
              </w:rPr>
            </w:pPr>
            <w:r w:rsidRPr="007C50D0">
              <w:rPr>
                <w:b/>
                <w:sz w:val="24"/>
                <w:szCs w:val="24"/>
              </w:rPr>
              <w:t>3972</w:t>
            </w:r>
          </w:p>
        </w:tc>
        <w:tc>
          <w:tcPr>
            <w:tcW w:w="992" w:type="dxa"/>
            <w:tcBorders>
              <w:top w:val="thickThinLargeGap" w:sz="24" w:space="0" w:color="auto"/>
            </w:tcBorders>
            <w:vAlign w:val="center"/>
          </w:tcPr>
          <w:p w:rsidR="007C50D0" w:rsidRPr="007C50D0" w:rsidRDefault="007C50D0" w:rsidP="008619A6">
            <w:pPr>
              <w:contextualSpacing/>
              <w:jc w:val="center"/>
              <w:rPr>
                <w:b/>
                <w:sz w:val="24"/>
                <w:szCs w:val="24"/>
              </w:rPr>
            </w:pPr>
            <w:r w:rsidRPr="007C50D0">
              <w:rPr>
                <w:b/>
                <w:sz w:val="24"/>
                <w:szCs w:val="24"/>
              </w:rPr>
              <w:t>4133</w:t>
            </w:r>
          </w:p>
        </w:tc>
        <w:tc>
          <w:tcPr>
            <w:tcW w:w="992" w:type="dxa"/>
            <w:tcBorders>
              <w:top w:val="thickThinLargeGap" w:sz="24" w:space="0" w:color="auto"/>
            </w:tcBorders>
            <w:vAlign w:val="center"/>
          </w:tcPr>
          <w:p w:rsidR="007C50D0" w:rsidRPr="007C50D0" w:rsidRDefault="007C50D0" w:rsidP="008619A6">
            <w:pPr>
              <w:contextualSpacing/>
              <w:jc w:val="center"/>
              <w:rPr>
                <w:b/>
                <w:sz w:val="24"/>
                <w:szCs w:val="24"/>
              </w:rPr>
            </w:pPr>
            <w:r w:rsidRPr="007C50D0">
              <w:rPr>
                <w:b/>
                <w:sz w:val="24"/>
                <w:szCs w:val="24"/>
              </w:rPr>
              <w:t>3589</w:t>
            </w:r>
          </w:p>
        </w:tc>
        <w:tc>
          <w:tcPr>
            <w:tcW w:w="1134" w:type="dxa"/>
            <w:tcBorders>
              <w:top w:val="thickThinLargeGap" w:sz="24" w:space="0" w:color="auto"/>
            </w:tcBorders>
            <w:vAlign w:val="center"/>
          </w:tcPr>
          <w:p w:rsidR="007C50D0" w:rsidRPr="007C50D0" w:rsidRDefault="007C50D0" w:rsidP="008619A6">
            <w:pPr>
              <w:contextualSpacing/>
              <w:jc w:val="center"/>
              <w:rPr>
                <w:b/>
                <w:sz w:val="24"/>
                <w:szCs w:val="24"/>
              </w:rPr>
            </w:pPr>
            <w:r w:rsidRPr="007C50D0">
              <w:rPr>
                <w:b/>
                <w:sz w:val="24"/>
                <w:szCs w:val="24"/>
              </w:rPr>
              <w:t>3672</w:t>
            </w:r>
          </w:p>
        </w:tc>
        <w:tc>
          <w:tcPr>
            <w:tcW w:w="883" w:type="dxa"/>
            <w:tcBorders>
              <w:top w:val="thickThinLargeGap" w:sz="24" w:space="0" w:color="auto"/>
              <w:right w:val="double" w:sz="4" w:space="0" w:color="auto"/>
            </w:tcBorders>
            <w:vAlign w:val="center"/>
          </w:tcPr>
          <w:p w:rsidR="007C50D0" w:rsidRPr="007C50D0" w:rsidRDefault="007C50D0" w:rsidP="008619A6">
            <w:pPr>
              <w:contextualSpacing/>
              <w:jc w:val="center"/>
              <w:rPr>
                <w:b/>
                <w:sz w:val="24"/>
                <w:szCs w:val="24"/>
              </w:rPr>
            </w:pPr>
            <w:r w:rsidRPr="007C50D0">
              <w:rPr>
                <w:b/>
                <w:sz w:val="24"/>
                <w:szCs w:val="24"/>
              </w:rPr>
              <w:t>3120</w:t>
            </w:r>
          </w:p>
        </w:tc>
      </w:tr>
      <w:tr w:rsidR="007C50D0" w:rsidRPr="007C50D0" w:rsidTr="007C50D0">
        <w:trPr>
          <w:trHeight w:val="439"/>
        </w:trPr>
        <w:tc>
          <w:tcPr>
            <w:tcW w:w="4418" w:type="dxa"/>
            <w:tcBorders>
              <w:top w:val="single" w:sz="4" w:space="0" w:color="auto"/>
              <w:left w:val="double" w:sz="4" w:space="0" w:color="auto"/>
              <w:bottom w:val="double" w:sz="4" w:space="0" w:color="auto"/>
            </w:tcBorders>
            <w:vAlign w:val="center"/>
          </w:tcPr>
          <w:p w:rsidR="007C50D0" w:rsidRPr="007C50D0" w:rsidRDefault="007C50D0" w:rsidP="008619A6">
            <w:pPr>
              <w:contextualSpacing/>
              <w:jc w:val="center"/>
              <w:rPr>
                <w:i/>
                <w:sz w:val="24"/>
                <w:szCs w:val="24"/>
              </w:rPr>
            </w:pPr>
            <w:r w:rsidRPr="007C50D0">
              <w:rPr>
                <w:i/>
                <w:sz w:val="24"/>
                <w:szCs w:val="24"/>
              </w:rPr>
              <w:t>Удовлетворено</w:t>
            </w:r>
          </w:p>
        </w:tc>
        <w:tc>
          <w:tcPr>
            <w:tcW w:w="969" w:type="dxa"/>
            <w:tcBorders>
              <w:top w:val="single" w:sz="4" w:space="0" w:color="auto"/>
              <w:bottom w:val="double" w:sz="4" w:space="0" w:color="auto"/>
            </w:tcBorders>
            <w:vAlign w:val="center"/>
          </w:tcPr>
          <w:p w:rsidR="007C50D0" w:rsidRPr="007C50D0" w:rsidRDefault="007C50D0" w:rsidP="008619A6">
            <w:pPr>
              <w:contextualSpacing/>
              <w:jc w:val="center"/>
              <w:rPr>
                <w:b/>
                <w:i/>
                <w:sz w:val="24"/>
                <w:szCs w:val="24"/>
              </w:rPr>
            </w:pPr>
            <w:r w:rsidRPr="007C50D0">
              <w:rPr>
                <w:b/>
                <w:i/>
                <w:sz w:val="24"/>
                <w:szCs w:val="24"/>
              </w:rPr>
              <w:t>166</w:t>
            </w:r>
          </w:p>
        </w:tc>
        <w:tc>
          <w:tcPr>
            <w:tcW w:w="992" w:type="dxa"/>
            <w:tcBorders>
              <w:top w:val="single" w:sz="4" w:space="0" w:color="auto"/>
              <w:bottom w:val="double" w:sz="4" w:space="0" w:color="auto"/>
            </w:tcBorders>
            <w:vAlign w:val="center"/>
          </w:tcPr>
          <w:p w:rsidR="007C50D0" w:rsidRPr="007C50D0" w:rsidRDefault="007C50D0" w:rsidP="008619A6">
            <w:pPr>
              <w:contextualSpacing/>
              <w:jc w:val="center"/>
              <w:rPr>
                <w:b/>
                <w:i/>
                <w:sz w:val="24"/>
                <w:szCs w:val="24"/>
              </w:rPr>
            </w:pPr>
            <w:r w:rsidRPr="007C50D0">
              <w:rPr>
                <w:b/>
                <w:i/>
                <w:sz w:val="24"/>
                <w:szCs w:val="24"/>
              </w:rPr>
              <w:t>168</w:t>
            </w:r>
          </w:p>
        </w:tc>
        <w:tc>
          <w:tcPr>
            <w:tcW w:w="992" w:type="dxa"/>
            <w:tcBorders>
              <w:top w:val="single" w:sz="4" w:space="0" w:color="auto"/>
              <w:bottom w:val="double" w:sz="4" w:space="0" w:color="auto"/>
            </w:tcBorders>
            <w:vAlign w:val="center"/>
          </w:tcPr>
          <w:p w:rsidR="007C50D0" w:rsidRPr="007C50D0" w:rsidRDefault="007C50D0" w:rsidP="008619A6">
            <w:pPr>
              <w:contextualSpacing/>
              <w:jc w:val="center"/>
              <w:rPr>
                <w:b/>
                <w:i/>
                <w:sz w:val="24"/>
                <w:szCs w:val="24"/>
              </w:rPr>
            </w:pPr>
            <w:r w:rsidRPr="007C50D0">
              <w:rPr>
                <w:b/>
                <w:i/>
                <w:sz w:val="24"/>
                <w:szCs w:val="24"/>
              </w:rPr>
              <w:t>119</w:t>
            </w:r>
          </w:p>
        </w:tc>
        <w:tc>
          <w:tcPr>
            <w:tcW w:w="1134" w:type="dxa"/>
            <w:tcBorders>
              <w:top w:val="single" w:sz="4" w:space="0" w:color="auto"/>
              <w:bottom w:val="double" w:sz="4" w:space="0" w:color="auto"/>
            </w:tcBorders>
            <w:vAlign w:val="center"/>
          </w:tcPr>
          <w:p w:rsidR="007C50D0" w:rsidRPr="007C50D0" w:rsidRDefault="007C50D0" w:rsidP="008619A6">
            <w:pPr>
              <w:contextualSpacing/>
              <w:jc w:val="center"/>
              <w:rPr>
                <w:b/>
                <w:i/>
                <w:sz w:val="24"/>
                <w:szCs w:val="24"/>
              </w:rPr>
            </w:pPr>
            <w:r w:rsidRPr="007C50D0">
              <w:rPr>
                <w:b/>
                <w:i/>
                <w:sz w:val="24"/>
                <w:szCs w:val="24"/>
              </w:rPr>
              <w:t>107</w:t>
            </w:r>
          </w:p>
        </w:tc>
        <w:tc>
          <w:tcPr>
            <w:tcW w:w="883" w:type="dxa"/>
            <w:tcBorders>
              <w:top w:val="single" w:sz="4" w:space="0" w:color="auto"/>
              <w:bottom w:val="double" w:sz="4" w:space="0" w:color="auto"/>
              <w:right w:val="double" w:sz="4" w:space="0" w:color="auto"/>
            </w:tcBorders>
            <w:vAlign w:val="center"/>
          </w:tcPr>
          <w:p w:rsidR="007C50D0" w:rsidRPr="007C50D0" w:rsidRDefault="007C50D0" w:rsidP="008619A6">
            <w:pPr>
              <w:contextualSpacing/>
              <w:jc w:val="center"/>
              <w:rPr>
                <w:b/>
                <w:i/>
                <w:sz w:val="24"/>
                <w:szCs w:val="24"/>
              </w:rPr>
            </w:pPr>
            <w:r w:rsidRPr="007C50D0">
              <w:rPr>
                <w:b/>
                <w:i/>
                <w:sz w:val="24"/>
                <w:szCs w:val="24"/>
              </w:rPr>
              <w:t>114</w:t>
            </w:r>
          </w:p>
        </w:tc>
      </w:tr>
      <w:tr w:rsidR="007C50D0" w:rsidRPr="007C50D0" w:rsidTr="007C50D0">
        <w:trPr>
          <w:trHeight w:val="439"/>
        </w:trPr>
        <w:tc>
          <w:tcPr>
            <w:tcW w:w="4418" w:type="dxa"/>
            <w:tcBorders>
              <w:top w:val="single" w:sz="4" w:space="0" w:color="auto"/>
              <w:left w:val="double" w:sz="4" w:space="0" w:color="auto"/>
              <w:bottom w:val="double" w:sz="4" w:space="0" w:color="auto"/>
            </w:tcBorders>
            <w:vAlign w:val="center"/>
          </w:tcPr>
          <w:p w:rsidR="007C50D0" w:rsidRPr="007C50D0" w:rsidRDefault="007C50D0" w:rsidP="008619A6">
            <w:pPr>
              <w:contextualSpacing/>
              <w:jc w:val="center"/>
              <w:rPr>
                <w:i/>
                <w:sz w:val="24"/>
                <w:szCs w:val="24"/>
              </w:rPr>
            </w:pPr>
            <w:r w:rsidRPr="007C50D0">
              <w:rPr>
                <w:i/>
                <w:sz w:val="24"/>
                <w:szCs w:val="24"/>
              </w:rPr>
              <w:t>Удельный вес</w:t>
            </w:r>
            <w:proofErr w:type="gramStart"/>
            <w:r w:rsidRPr="007C50D0">
              <w:rPr>
                <w:i/>
                <w:sz w:val="24"/>
                <w:szCs w:val="24"/>
              </w:rPr>
              <w:t xml:space="preserve"> (%)</w:t>
            </w:r>
            <w:proofErr w:type="gramEnd"/>
          </w:p>
        </w:tc>
        <w:tc>
          <w:tcPr>
            <w:tcW w:w="969" w:type="dxa"/>
            <w:tcBorders>
              <w:top w:val="single" w:sz="4" w:space="0" w:color="auto"/>
              <w:bottom w:val="double" w:sz="4" w:space="0" w:color="auto"/>
            </w:tcBorders>
            <w:vAlign w:val="center"/>
          </w:tcPr>
          <w:p w:rsidR="007C50D0" w:rsidRPr="007C50D0" w:rsidRDefault="007C50D0" w:rsidP="008619A6">
            <w:pPr>
              <w:contextualSpacing/>
              <w:jc w:val="center"/>
              <w:rPr>
                <w:i/>
                <w:sz w:val="24"/>
                <w:szCs w:val="24"/>
              </w:rPr>
            </w:pPr>
            <w:r w:rsidRPr="007C50D0">
              <w:rPr>
                <w:i/>
                <w:sz w:val="24"/>
                <w:szCs w:val="24"/>
              </w:rPr>
              <w:t>4,2</w:t>
            </w:r>
          </w:p>
        </w:tc>
        <w:tc>
          <w:tcPr>
            <w:tcW w:w="992" w:type="dxa"/>
            <w:tcBorders>
              <w:top w:val="single" w:sz="4" w:space="0" w:color="auto"/>
              <w:bottom w:val="double" w:sz="4" w:space="0" w:color="auto"/>
            </w:tcBorders>
            <w:vAlign w:val="center"/>
          </w:tcPr>
          <w:p w:rsidR="007C50D0" w:rsidRPr="007C50D0" w:rsidRDefault="007C50D0" w:rsidP="008619A6">
            <w:pPr>
              <w:contextualSpacing/>
              <w:jc w:val="center"/>
              <w:rPr>
                <w:i/>
                <w:sz w:val="24"/>
                <w:szCs w:val="24"/>
              </w:rPr>
            </w:pPr>
            <w:r w:rsidRPr="007C50D0">
              <w:rPr>
                <w:i/>
                <w:sz w:val="24"/>
                <w:szCs w:val="24"/>
              </w:rPr>
              <w:t>4,1</w:t>
            </w:r>
          </w:p>
        </w:tc>
        <w:tc>
          <w:tcPr>
            <w:tcW w:w="992" w:type="dxa"/>
            <w:tcBorders>
              <w:top w:val="single" w:sz="4" w:space="0" w:color="auto"/>
              <w:bottom w:val="double" w:sz="4" w:space="0" w:color="auto"/>
            </w:tcBorders>
            <w:vAlign w:val="center"/>
          </w:tcPr>
          <w:p w:rsidR="007C50D0" w:rsidRPr="007C50D0" w:rsidRDefault="007C50D0" w:rsidP="008619A6">
            <w:pPr>
              <w:contextualSpacing/>
              <w:jc w:val="center"/>
              <w:rPr>
                <w:i/>
                <w:sz w:val="24"/>
                <w:szCs w:val="24"/>
              </w:rPr>
            </w:pPr>
            <w:r w:rsidRPr="007C50D0">
              <w:rPr>
                <w:i/>
                <w:sz w:val="24"/>
                <w:szCs w:val="24"/>
              </w:rPr>
              <w:t>3,3</w:t>
            </w:r>
          </w:p>
        </w:tc>
        <w:tc>
          <w:tcPr>
            <w:tcW w:w="1134" w:type="dxa"/>
            <w:tcBorders>
              <w:top w:val="single" w:sz="4" w:space="0" w:color="auto"/>
              <w:bottom w:val="double" w:sz="4" w:space="0" w:color="auto"/>
            </w:tcBorders>
            <w:vAlign w:val="center"/>
          </w:tcPr>
          <w:p w:rsidR="007C50D0" w:rsidRPr="007C50D0" w:rsidRDefault="007C50D0" w:rsidP="008619A6">
            <w:pPr>
              <w:contextualSpacing/>
              <w:jc w:val="center"/>
              <w:rPr>
                <w:i/>
                <w:sz w:val="24"/>
                <w:szCs w:val="24"/>
              </w:rPr>
            </w:pPr>
            <w:r w:rsidRPr="007C50D0">
              <w:rPr>
                <w:i/>
                <w:sz w:val="24"/>
                <w:szCs w:val="24"/>
              </w:rPr>
              <w:t>2,9</w:t>
            </w:r>
          </w:p>
        </w:tc>
        <w:tc>
          <w:tcPr>
            <w:tcW w:w="883" w:type="dxa"/>
            <w:tcBorders>
              <w:top w:val="single" w:sz="4" w:space="0" w:color="auto"/>
              <w:bottom w:val="double" w:sz="4" w:space="0" w:color="auto"/>
              <w:right w:val="double" w:sz="4" w:space="0" w:color="auto"/>
            </w:tcBorders>
            <w:vAlign w:val="center"/>
          </w:tcPr>
          <w:p w:rsidR="007C50D0" w:rsidRPr="007C50D0" w:rsidRDefault="007C50D0" w:rsidP="008619A6">
            <w:pPr>
              <w:contextualSpacing/>
              <w:jc w:val="center"/>
              <w:rPr>
                <w:i/>
                <w:sz w:val="24"/>
                <w:szCs w:val="24"/>
              </w:rPr>
            </w:pPr>
            <w:r w:rsidRPr="007C50D0">
              <w:rPr>
                <w:i/>
                <w:sz w:val="24"/>
                <w:szCs w:val="24"/>
              </w:rPr>
              <w:t>3,7</w:t>
            </w:r>
          </w:p>
        </w:tc>
      </w:tr>
    </w:tbl>
    <w:p w:rsidR="007C50D0" w:rsidRPr="007C50D0" w:rsidRDefault="007C50D0" w:rsidP="008619A6">
      <w:pPr>
        <w:ind w:firstLine="900"/>
        <w:contextualSpacing/>
        <w:jc w:val="both"/>
        <w:rPr>
          <w:sz w:val="28"/>
          <w:szCs w:val="28"/>
          <w:u w:val="single"/>
        </w:rPr>
      </w:pPr>
      <w:r w:rsidRPr="007C50D0">
        <w:rPr>
          <w:sz w:val="28"/>
          <w:szCs w:val="28"/>
          <w:u w:val="single"/>
        </w:rPr>
        <w:t>Гражданское судопроизводство</w:t>
      </w:r>
    </w:p>
    <w:p w:rsidR="007C50D0" w:rsidRPr="007C50D0" w:rsidRDefault="007C50D0" w:rsidP="008619A6">
      <w:pPr>
        <w:ind w:firstLine="900"/>
        <w:contextualSpacing/>
        <w:jc w:val="both"/>
        <w:rPr>
          <w:sz w:val="28"/>
          <w:szCs w:val="28"/>
        </w:rPr>
      </w:pPr>
      <w:r w:rsidRPr="007C50D0">
        <w:rPr>
          <w:sz w:val="28"/>
          <w:szCs w:val="28"/>
        </w:rPr>
        <w:t>В 2017 году было рассмотрено 92225 гражданских дел.</w:t>
      </w:r>
      <w:r w:rsidRPr="007C50D0">
        <w:rPr>
          <w:color w:val="0000FF"/>
          <w:sz w:val="28"/>
          <w:szCs w:val="28"/>
        </w:rPr>
        <w:t xml:space="preserve"> </w:t>
      </w:r>
      <w:r w:rsidRPr="007C50D0">
        <w:rPr>
          <w:sz w:val="28"/>
          <w:szCs w:val="28"/>
        </w:rPr>
        <w:t xml:space="preserve">Наибольшую долю среди них составили дела искового производства — 81,8%, что на 2,9% меньше, чем в 2016 году. Доля дел особого производства также снизилась и составила 18,2% от общего количества рассмотренных гражданских дел. </w:t>
      </w:r>
    </w:p>
    <w:p w:rsidR="007C50D0" w:rsidRPr="007C50D0" w:rsidRDefault="007C50D0" w:rsidP="008619A6">
      <w:pPr>
        <w:ind w:firstLine="900"/>
        <w:contextualSpacing/>
        <w:jc w:val="both"/>
        <w:rPr>
          <w:sz w:val="24"/>
          <w:szCs w:val="24"/>
        </w:rPr>
      </w:pPr>
      <w:r w:rsidRPr="007C50D0">
        <w:rPr>
          <w:sz w:val="28"/>
          <w:szCs w:val="28"/>
        </w:rPr>
        <w:t xml:space="preserve">                                                                                                        </w:t>
      </w:r>
      <w:r w:rsidRPr="007C50D0">
        <w:rPr>
          <w:sz w:val="24"/>
          <w:szCs w:val="24"/>
        </w:rPr>
        <w:t>График 9</w:t>
      </w:r>
    </w:p>
    <w:p w:rsidR="007C50D0" w:rsidRPr="007C50D0" w:rsidRDefault="007C50D0" w:rsidP="008619A6">
      <w:pPr>
        <w:ind w:firstLine="900"/>
        <w:contextualSpacing/>
        <w:jc w:val="both"/>
        <w:rPr>
          <w:color w:val="0000FF"/>
          <w:sz w:val="24"/>
          <w:szCs w:val="24"/>
        </w:rPr>
      </w:pPr>
      <w:r>
        <w:rPr>
          <w:noProof/>
          <w:color w:val="0000FF"/>
          <w:sz w:val="24"/>
          <w:szCs w:val="24"/>
        </w:rPr>
        <w:drawing>
          <wp:inline distT="0" distB="0" distL="0" distR="0" wp14:anchorId="57330EF3" wp14:editId="5CD170F8">
            <wp:extent cx="5187950" cy="2585720"/>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7950" cy="2585720"/>
                    </a:xfrm>
                    <a:prstGeom prst="rect">
                      <a:avLst/>
                    </a:prstGeom>
                    <a:noFill/>
                  </pic:spPr>
                </pic:pic>
              </a:graphicData>
            </a:graphic>
          </wp:inline>
        </w:drawing>
      </w:r>
    </w:p>
    <w:p w:rsidR="007C50D0" w:rsidRPr="007C50D0" w:rsidRDefault="007C50D0" w:rsidP="008619A6">
      <w:pPr>
        <w:ind w:firstLine="900"/>
        <w:contextualSpacing/>
        <w:jc w:val="both"/>
        <w:rPr>
          <w:sz w:val="28"/>
          <w:szCs w:val="28"/>
        </w:rPr>
      </w:pPr>
      <w:r w:rsidRPr="007C50D0">
        <w:rPr>
          <w:sz w:val="28"/>
          <w:szCs w:val="28"/>
        </w:rPr>
        <w:t>В исковом производстве, как и в 2016 году, чаще всего рассматривались дела, связанные с исками о взыскании сумм по кредитным договорам и договорам займа. Их доля в исковом производстве составила 22,4% (2016 год – 31,3%). В общей же массе гражданских дел они составляют 18,3%, что ниже уровня 2016 года на 8,2%. Абсолютное значение показателя уменьшилось на 43,3% и составило 16856 дел. Подавляющее большинство дел (81,7%) рассмотрено с удовлетворением исковых требований на сумму, превышающую 13 млрд. руб. (в 2016 году – 19,0 млрд. руб.)</w:t>
      </w:r>
    </w:p>
    <w:p w:rsidR="007C50D0" w:rsidRPr="007C50D0" w:rsidRDefault="007C50D0" w:rsidP="008619A6">
      <w:pPr>
        <w:ind w:firstLine="900"/>
        <w:contextualSpacing/>
        <w:jc w:val="both"/>
        <w:rPr>
          <w:sz w:val="28"/>
          <w:szCs w:val="28"/>
        </w:rPr>
      </w:pPr>
      <w:r w:rsidRPr="007C50D0">
        <w:rPr>
          <w:sz w:val="28"/>
          <w:szCs w:val="28"/>
        </w:rPr>
        <w:t xml:space="preserve">На втором месте иски, связанные с жилищными спорами. Они составляют 13,5% от общего количества рассмотренных исков. В 2017 году окончено производство 10173 дел этой категории. Это на 5,8% меньше, чем в </w:t>
      </w:r>
      <w:r w:rsidRPr="007C50D0">
        <w:rPr>
          <w:sz w:val="28"/>
          <w:szCs w:val="28"/>
        </w:rPr>
        <w:lastRenderedPageBreak/>
        <w:t xml:space="preserve">2016 году. Удовлетворено 68,7% предъявленных исков на сумму, превышающую 199,5 млн. руб. В 2016 году удовлетворено 71,6% исков на сумму 313,1 млн. руб. </w:t>
      </w:r>
    </w:p>
    <w:p w:rsidR="007C50D0" w:rsidRPr="007C50D0" w:rsidRDefault="007C50D0" w:rsidP="008619A6">
      <w:pPr>
        <w:ind w:firstLine="900"/>
        <w:contextualSpacing/>
        <w:jc w:val="both"/>
        <w:rPr>
          <w:sz w:val="28"/>
          <w:szCs w:val="28"/>
        </w:rPr>
      </w:pPr>
      <w:r w:rsidRPr="007C50D0">
        <w:rPr>
          <w:sz w:val="28"/>
          <w:szCs w:val="28"/>
        </w:rPr>
        <w:t>На фоне общего уменьшения жилищных споров обращает на себя внимание значительное увеличение</w:t>
      </w:r>
      <w:r w:rsidR="00892C51">
        <w:rPr>
          <w:sz w:val="28"/>
          <w:szCs w:val="28"/>
        </w:rPr>
        <w:t>:</w:t>
      </w:r>
    </w:p>
    <w:p w:rsidR="007C50D0" w:rsidRPr="007C50D0" w:rsidRDefault="00DC57D7" w:rsidP="008619A6">
      <w:pPr>
        <w:ind w:firstLine="900"/>
        <w:contextualSpacing/>
        <w:jc w:val="both"/>
        <w:rPr>
          <w:sz w:val="28"/>
          <w:szCs w:val="28"/>
        </w:rPr>
      </w:pPr>
      <w:r>
        <w:rPr>
          <w:sz w:val="28"/>
          <w:szCs w:val="28"/>
        </w:rPr>
        <w:t xml:space="preserve">– </w:t>
      </w:r>
      <w:r w:rsidR="007C50D0" w:rsidRPr="007C50D0">
        <w:rPr>
          <w:sz w:val="28"/>
          <w:szCs w:val="28"/>
        </w:rPr>
        <w:t>в 4,3 раза – количества дел, связанных с участием граждан в долевом строительстве объектов недвижимости;</w:t>
      </w:r>
    </w:p>
    <w:p w:rsidR="007C50D0" w:rsidRPr="007C50D0" w:rsidRDefault="00892C51" w:rsidP="008619A6">
      <w:pPr>
        <w:ind w:firstLine="900"/>
        <w:contextualSpacing/>
        <w:jc w:val="both"/>
        <w:rPr>
          <w:sz w:val="28"/>
          <w:szCs w:val="28"/>
        </w:rPr>
      </w:pPr>
      <w:r>
        <w:rPr>
          <w:sz w:val="28"/>
          <w:szCs w:val="28"/>
        </w:rPr>
        <w:t xml:space="preserve">– </w:t>
      </w:r>
      <w:r w:rsidR="007C50D0" w:rsidRPr="007C50D0">
        <w:rPr>
          <w:sz w:val="28"/>
          <w:szCs w:val="28"/>
        </w:rPr>
        <w:t>в 3,3 раза споров с управляющими компаниями и другими жилищными организациями, тогда как количество дел о взыскании платы за коммунальные платежи, тепло и электроэнергию снизилось в 2,7 раза;</w:t>
      </w:r>
    </w:p>
    <w:p w:rsidR="007C50D0" w:rsidRPr="007C50D0" w:rsidRDefault="00892C51" w:rsidP="008619A6">
      <w:pPr>
        <w:ind w:firstLine="900"/>
        <w:contextualSpacing/>
        <w:jc w:val="both"/>
        <w:rPr>
          <w:sz w:val="28"/>
          <w:szCs w:val="28"/>
        </w:rPr>
      </w:pPr>
      <w:r>
        <w:rPr>
          <w:sz w:val="28"/>
          <w:szCs w:val="28"/>
        </w:rPr>
        <w:t xml:space="preserve">– </w:t>
      </w:r>
      <w:r w:rsidR="007C50D0" w:rsidRPr="007C50D0">
        <w:rPr>
          <w:sz w:val="28"/>
          <w:szCs w:val="28"/>
        </w:rPr>
        <w:t>в 1,7 раза споров о выселении.</w:t>
      </w:r>
    </w:p>
    <w:p w:rsidR="007C50D0" w:rsidRPr="007C50D0" w:rsidRDefault="007C50D0" w:rsidP="008619A6">
      <w:pPr>
        <w:ind w:firstLine="900"/>
        <w:contextualSpacing/>
        <w:jc w:val="both"/>
        <w:rPr>
          <w:sz w:val="28"/>
          <w:szCs w:val="28"/>
        </w:rPr>
      </w:pPr>
      <w:r w:rsidRPr="007C50D0">
        <w:rPr>
          <w:sz w:val="28"/>
          <w:szCs w:val="28"/>
        </w:rPr>
        <w:t xml:space="preserve">Третью весомую группу составляют дела, связанные с защитой прав потребителей. В 2017 году было рассмотрено 5551 дело, что составляет 7,4% от общего количества исков, поданных в суд. По сравнению с 2016 годом наблюдается уменьшение таких обращений в суд на 23,9%. Однако в течение последних пяти лет сохраняется тенденция увеличения количества рассмотренных дел данной категории. </w:t>
      </w:r>
    </w:p>
    <w:p w:rsidR="007C50D0" w:rsidRPr="007C50D0" w:rsidRDefault="007C50D0" w:rsidP="008619A6">
      <w:pPr>
        <w:ind w:firstLine="900"/>
        <w:contextualSpacing/>
        <w:jc w:val="both"/>
        <w:rPr>
          <w:sz w:val="28"/>
          <w:szCs w:val="28"/>
        </w:rPr>
      </w:pPr>
      <w:r w:rsidRPr="007C50D0">
        <w:rPr>
          <w:sz w:val="28"/>
          <w:szCs w:val="28"/>
        </w:rPr>
        <w:t>Рассмотрено достаточно большое количество дел, связанных с землепользованием. Объем этой группы составил в 2017 году 5343 дела, или 7,1% от общего количества исков. Однако это на 8,9% меньше, чем в прошлом отчетном периоде. При уменьшении общего количества дел, связанных с земельными правоотношениями, наблюдается увеличение дел</w:t>
      </w:r>
      <w:r w:rsidR="00892C51">
        <w:rPr>
          <w:sz w:val="28"/>
          <w:szCs w:val="28"/>
        </w:rPr>
        <w:t xml:space="preserve"> следующих категорий:</w:t>
      </w:r>
    </w:p>
    <w:p w:rsidR="007C50D0" w:rsidRPr="007C50D0" w:rsidRDefault="00DC57D7" w:rsidP="008619A6">
      <w:pPr>
        <w:ind w:firstLine="900"/>
        <w:contextualSpacing/>
        <w:jc w:val="both"/>
        <w:rPr>
          <w:sz w:val="28"/>
          <w:szCs w:val="28"/>
        </w:rPr>
      </w:pPr>
      <w:r>
        <w:rPr>
          <w:sz w:val="28"/>
          <w:szCs w:val="28"/>
        </w:rPr>
        <w:t xml:space="preserve">– </w:t>
      </w:r>
      <w:r w:rsidR="007C50D0" w:rsidRPr="007C50D0">
        <w:rPr>
          <w:sz w:val="28"/>
          <w:szCs w:val="28"/>
        </w:rPr>
        <w:t>о предоставлении (отказе в предоставлении) земельного участка – в 2,5 раза;</w:t>
      </w:r>
    </w:p>
    <w:p w:rsidR="007C50D0" w:rsidRPr="007C50D0" w:rsidRDefault="00DC57D7" w:rsidP="008619A6">
      <w:pPr>
        <w:ind w:firstLine="900"/>
        <w:contextualSpacing/>
        <w:jc w:val="both"/>
        <w:rPr>
          <w:sz w:val="28"/>
          <w:szCs w:val="28"/>
        </w:rPr>
      </w:pPr>
      <w:r>
        <w:rPr>
          <w:sz w:val="28"/>
          <w:szCs w:val="28"/>
        </w:rPr>
        <w:t xml:space="preserve">– </w:t>
      </w:r>
      <w:r w:rsidR="007C50D0" w:rsidRPr="007C50D0">
        <w:rPr>
          <w:sz w:val="28"/>
          <w:szCs w:val="28"/>
        </w:rPr>
        <w:t>об изъятии земельных участков для государственных или муниципальных нужд и определении их выкупной цены – в 2 раза;</w:t>
      </w:r>
    </w:p>
    <w:p w:rsidR="007C50D0" w:rsidRPr="007C50D0" w:rsidRDefault="00DC57D7" w:rsidP="008619A6">
      <w:pPr>
        <w:ind w:firstLine="900"/>
        <w:contextualSpacing/>
        <w:jc w:val="both"/>
        <w:rPr>
          <w:sz w:val="28"/>
          <w:szCs w:val="28"/>
        </w:rPr>
      </w:pPr>
      <w:r>
        <w:rPr>
          <w:sz w:val="28"/>
          <w:szCs w:val="28"/>
        </w:rPr>
        <w:t xml:space="preserve">– </w:t>
      </w:r>
      <w:r w:rsidR="007C50D0" w:rsidRPr="007C50D0">
        <w:rPr>
          <w:sz w:val="28"/>
          <w:szCs w:val="28"/>
        </w:rPr>
        <w:t>возникающих по инициативе или с участием садоводов, СНТ – в 1,7 раза;</w:t>
      </w:r>
    </w:p>
    <w:p w:rsidR="007C50D0" w:rsidRPr="007C50D0" w:rsidRDefault="00DC57D7" w:rsidP="008619A6">
      <w:pPr>
        <w:ind w:firstLine="900"/>
        <w:contextualSpacing/>
        <w:jc w:val="both"/>
        <w:rPr>
          <w:sz w:val="28"/>
          <w:szCs w:val="28"/>
        </w:rPr>
      </w:pPr>
      <w:r>
        <w:rPr>
          <w:sz w:val="28"/>
          <w:szCs w:val="28"/>
        </w:rPr>
        <w:t xml:space="preserve">– </w:t>
      </w:r>
      <w:proofErr w:type="gramStart"/>
      <w:r w:rsidR="007C50D0" w:rsidRPr="007C50D0">
        <w:rPr>
          <w:sz w:val="28"/>
          <w:szCs w:val="28"/>
        </w:rPr>
        <w:t>связанных</w:t>
      </w:r>
      <w:proofErr w:type="gramEnd"/>
      <w:r w:rsidR="007C50D0" w:rsidRPr="007C50D0">
        <w:rPr>
          <w:sz w:val="28"/>
          <w:szCs w:val="28"/>
        </w:rPr>
        <w:t xml:space="preserve"> с самовольной постройкой – в 1,4 раза.</w:t>
      </w:r>
    </w:p>
    <w:p w:rsidR="007C50D0" w:rsidRPr="007C50D0" w:rsidRDefault="007C50D0" w:rsidP="008619A6">
      <w:pPr>
        <w:ind w:firstLine="900"/>
        <w:contextualSpacing/>
        <w:jc w:val="both"/>
        <w:rPr>
          <w:sz w:val="28"/>
          <w:szCs w:val="28"/>
        </w:rPr>
      </w:pPr>
      <w:r w:rsidRPr="007C50D0">
        <w:rPr>
          <w:sz w:val="28"/>
          <w:szCs w:val="28"/>
        </w:rPr>
        <w:t>В 2017 году 2,4 раза увеличилось количество споров, связанных с наследованием имущества: раздел имущества, признание завещания недействительным, об ответственности наследников по долгам наследодателя, о признании права на наследственное имущество. Доля таких дел в общей массе исков составляет 2,3%.</w:t>
      </w:r>
    </w:p>
    <w:p w:rsidR="007C50D0" w:rsidRPr="007C50D0" w:rsidRDefault="007C50D0" w:rsidP="008619A6">
      <w:pPr>
        <w:ind w:firstLine="900"/>
        <w:contextualSpacing/>
        <w:jc w:val="both"/>
        <w:rPr>
          <w:sz w:val="28"/>
          <w:szCs w:val="28"/>
        </w:rPr>
      </w:pPr>
      <w:proofErr w:type="gramStart"/>
      <w:r w:rsidRPr="007C50D0">
        <w:rPr>
          <w:sz w:val="28"/>
          <w:szCs w:val="28"/>
        </w:rPr>
        <w:t>Увеличилось в 1,9 раза количество рассмотренных дел о признании недействительными решений Пенсионного фонда Российской Федерации, его региональных отделений, негосударственных пенсионных фондов об отказе в назначении пенсии, о прекращении выплаты пенсии, а также решений администраций муниципальных образований об отказе в назначении пенсии, в перерасчете пенсии за выслугу лет, о прекращении выплаты пенсии, доплаты к пенсии муниципальным служащим.</w:t>
      </w:r>
      <w:proofErr w:type="gramEnd"/>
      <w:r w:rsidRPr="007C50D0">
        <w:rPr>
          <w:sz w:val="28"/>
          <w:szCs w:val="28"/>
        </w:rPr>
        <w:t xml:space="preserve"> В общей сложности судами республики рассмотрено 285 дел такого характера, 70,9% из которых было рассмотрено с удовлетворением иска.</w:t>
      </w:r>
    </w:p>
    <w:p w:rsidR="007C50D0" w:rsidRPr="007C50D0" w:rsidRDefault="007C50D0" w:rsidP="008619A6">
      <w:pPr>
        <w:ind w:firstLine="900"/>
        <w:contextualSpacing/>
        <w:jc w:val="both"/>
        <w:rPr>
          <w:sz w:val="28"/>
          <w:szCs w:val="28"/>
        </w:rPr>
      </w:pPr>
      <w:r w:rsidRPr="007C50D0">
        <w:rPr>
          <w:sz w:val="28"/>
          <w:szCs w:val="28"/>
        </w:rPr>
        <w:lastRenderedPageBreak/>
        <w:t>В 2 раза по сравнению с прошлым годом увеличилось количество дел, связанных с предоставлением социальных пособий, компенсационных выплат, денежных субсидий (в том числе отдельным категориям граждан). 37,8% исков было рассмотрено судом с удовлетворением требования. Необходимо отметить также, что удельный вес дел данной категории среди гражданских исков невелик.</w:t>
      </w:r>
    </w:p>
    <w:p w:rsidR="007C50D0" w:rsidRPr="007C50D0" w:rsidRDefault="007C50D0" w:rsidP="008619A6">
      <w:pPr>
        <w:ind w:firstLine="900"/>
        <w:contextualSpacing/>
        <w:jc w:val="both"/>
        <w:rPr>
          <w:sz w:val="28"/>
          <w:szCs w:val="28"/>
        </w:rPr>
      </w:pPr>
      <w:r w:rsidRPr="007C50D0">
        <w:rPr>
          <w:sz w:val="28"/>
          <w:szCs w:val="28"/>
        </w:rPr>
        <w:t xml:space="preserve">В целом за 2017 год районные (городские) суды республики рассмотрели 75404 дела искового производства </w:t>
      </w:r>
    </w:p>
    <w:p w:rsidR="007C50D0" w:rsidRPr="007C50D0" w:rsidRDefault="007C50D0" w:rsidP="008619A6">
      <w:pPr>
        <w:ind w:firstLine="900"/>
        <w:contextualSpacing/>
        <w:jc w:val="both"/>
        <w:rPr>
          <w:sz w:val="28"/>
          <w:szCs w:val="28"/>
        </w:rPr>
      </w:pPr>
      <w:r w:rsidRPr="007C50D0">
        <w:rPr>
          <w:sz w:val="28"/>
          <w:szCs w:val="28"/>
        </w:rPr>
        <w:t>Среди дел особого производства наибольший удельный вес в 2017 году приходится по-прежнему на дела об установлении фактов, имеющих юридическое значение —58,5%, или 9866 дел. Для сравнения: в 2016 году было рассмотрено 10287 дел данной категории, или 59,6% от общего количества дел особого производства. Максимальное же значение данного показателя приходится на 2008 год — 84,3%.</w:t>
      </w:r>
    </w:p>
    <w:p w:rsidR="007C50D0" w:rsidRPr="007C50D0" w:rsidRDefault="007C50D0" w:rsidP="008619A6">
      <w:pPr>
        <w:ind w:firstLine="900"/>
        <w:contextualSpacing/>
        <w:jc w:val="center"/>
        <w:rPr>
          <w:sz w:val="24"/>
          <w:szCs w:val="24"/>
        </w:rPr>
      </w:pPr>
      <w:r w:rsidRPr="007C50D0">
        <w:rPr>
          <w:sz w:val="24"/>
          <w:szCs w:val="24"/>
        </w:rPr>
        <w:t xml:space="preserve">                                                                                                     Таблица </w:t>
      </w:r>
      <w:r w:rsidR="00C02904">
        <w:rPr>
          <w:sz w:val="24"/>
          <w:szCs w:val="24"/>
        </w:rPr>
        <w:t>2</w:t>
      </w:r>
      <w:r w:rsidRPr="007C50D0">
        <w:rPr>
          <w:sz w:val="24"/>
          <w:szCs w:val="24"/>
        </w:rPr>
        <w:t>1</w:t>
      </w:r>
    </w:p>
    <w:tbl>
      <w:tblPr>
        <w:tblW w:w="9214" w:type="dxa"/>
        <w:tblInd w:w="108" w:type="dxa"/>
        <w:tblLayout w:type="fixed"/>
        <w:tblLook w:val="04A0" w:firstRow="1" w:lastRow="0" w:firstColumn="1" w:lastColumn="0" w:noHBand="0" w:noVBand="1"/>
      </w:tblPr>
      <w:tblGrid>
        <w:gridCol w:w="1702"/>
        <w:gridCol w:w="1275"/>
        <w:gridCol w:w="1285"/>
        <w:gridCol w:w="1486"/>
        <w:gridCol w:w="1340"/>
        <w:gridCol w:w="1204"/>
        <w:gridCol w:w="922"/>
      </w:tblGrid>
      <w:tr w:rsidR="007C50D0" w:rsidRPr="007C50D0" w:rsidTr="00DC57D7">
        <w:trPr>
          <w:trHeight w:val="27"/>
        </w:trPr>
        <w:tc>
          <w:tcPr>
            <w:tcW w:w="9214" w:type="dxa"/>
            <w:gridSpan w:val="7"/>
            <w:tcBorders>
              <w:top w:val="double" w:sz="6" w:space="0" w:color="auto"/>
              <w:left w:val="double" w:sz="6" w:space="0" w:color="auto"/>
              <w:bottom w:val="single" w:sz="8" w:space="0" w:color="auto"/>
              <w:right w:val="nil"/>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Основные категории рассмотренных гражданских дел</w:t>
            </w:r>
          </w:p>
        </w:tc>
      </w:tr>
      <w:tr w:rsidR="007C50D0" w:rsidRPr="007C50D0" w:rsidTr="00DC57D7">
        <w:trPr>
          <w:trHeight w:val="1193"/>
        </w:trPr>
        <w:tc>
          <w:tcPr>
            <w:tcW w:w="1702" w:type="dxa"/>
            <w:tcBorders>
              <w:top w:val="nil"/>
              <w:left w:val="double" w:sz="6" w:space="0" w:color="auto"/>
              <w:bottom w:val="double" w:sz="6" w:space="0" w:color="auto"/>
              <w:right w:val="double" w:sz="6" w:space="0" w:color="auto"/>
            </w:tcBorders>
            <w:shd w:val="clear" w:color="auto" w:fill="auto"/>
            <w:vAlign w:val="center"/>
            <w:hideMark/>
          </w:tcPr>
          <w:p w:rsidR="007C50D0" w:rsidRPr="007C50D0" w:rsidRDefault="007C50D0" w:rsidP="008619A6">
            <w:pPr>
              <w:contextualSpacing/>
              <w:jc w:val="center"/>
              <w:rPr>
                <w:sz w:val="24"/>
                <w:szCs w:val="24"/>
              </w:rPr>
            </w:pPr>
          </w:p>
        </w:tc>
        <w:tc>
          <w:tcPr>
            <w:tcW w:w="1275"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Взыскание сумм по договору займа</w:t>
            </w:r>
          </w:p>
        </w:tc>
        <w:tc>
          <w:tcPr>
            <w:tcW w:w="1285"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Жилищные споры</w:t>
            </w:r>
          </w:p>
        </w:tc>
        <w:tc>
          <w:tcPr>
            <w:tcW w:w="1486"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Установление фактов, имеющих юр. значение</w:t>
            </w:r>
          </w:p>
        </w:tc>
        <w:tc>
          <w:tcPr>
            <w:tcW w:w="1340" w:type="dxa"/>
            <w:tcBorders>
              <w:top w:val="nil"/>
              <w:left w:val="nil"/>
              <w:bottom w:val="double" w:sz="6" w:space="0" w:color="auto"/>
              <w:right w:val="double" w:sz="6"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Защита прав потребителей</w:t>
            </w:r>
          </w:p>
        </w:tc>
        <w:tc>
          <w:tcPr>
            <w:tcW w:w="1204"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Земельные споры</w:t>
            </w:r>
          </w:p>
        </w:tc>
        <w:tc>
          <w:tcPr>
            <w:tcW w:w="922" w:type="dxa"/>
            <w:tcBorders>
              <w:top w:val="nil"/>
              <w:left w:val="nil"/>
              <w:bottom w:val="double" w:sz="6" w:space="0" w:color="auto"/>
              <w:right w:val="single" w:sz="4"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Семейные споры</w:t>
            </w:r>
          </w:p>
        </w:tc>
      </w:tr>
      <w:tr w:rsidR="007C50D0" w:rsidRPr="007C50D0" w:rsidTr="00DC57D7">
        <w:trPr>
          <w:trHeight w:val="55"/>
        </w:trPr>
        <w:tc>
          <w:tcPr>
            <w:tcW w:w="1702" w:type="dxa"/>
            <w:tcBorders>
              <w:top w:val="nil"/>
              <w:left w:val="double" w:sz="6" w:space="0" w:color="auto"/>
              <w:bottom w:val="dotted" w:sz="4" w:space="0" w:color="auto"/>
              <w:right w:val="double" w:sz="6"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2013</w:t>
            </w:r>
          </w:p>
        </w:tc>
        <w:tc>
          <w:tcPr>
            <w:tcW w:w="1275"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color w:val="000000"/>
                <w:sz w:val="24"/>
                <w:szCs w:val="24"/>
              </w:rPr>
            </w:pPr>
            <w:r w:rsidRPr="007C50D0">
              <w:rPr>
                <w:i/>
                <w:iCs/>
                <w:color w:val="000000"/>
                <w:sz w:val="24"/>
                <w:szCs w:val="24"/>
              </w:rPr>
              <w:t>12263</w:t>
            </w:r>
          </w:p>
        </w:tc>
        <w:tc>
          <w:tcPr>
            <w:tcW w:w="1285"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11147</w:t>
            </w:r>
          </w:p>
        </w:tc>
        <w:tc>
          <w:tcPr>
            <w:tcW w:w="1486"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color w:val="000000"/>
                <w:sz w:val="24"/>
                <w:szCs w:val="24"/>
              </w:rPr>
            </w:pPr>
            <w:r w:rsidRPr="007C50D0">
              <w:rPr>
                <w:i/>
                <w:iCs/>
                <w:color w:val="000000"/>
                <w:sz w:val="24"/>
                <w:szCs w:val="24"/>
              </w:rPr>
              <w:t>21504</w:t>
            </w:r>
          </w:p>
        </w:tc>
        <w:tc>
          <w:tcPr>
            <w:tcW w:w="1340" w:type="dxa"/>
            <w:tcBorders>
              <w:top w:val="nil"/>
              <w:left w:val="nil"/>
              <w:bottom w:val="dotted" w:sz="4" w:space="0" w:color="auto"/>
              <w:right w:val="double" w:sz="6"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6656</w:t>
            </w:r>
          </w:p>
        </w:tc>
        <w:tc>
          <w:tcPr>
            <w:tcW w:w="1204"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4448</w:t>
            </w:r>
          </w:p>
        </w:tc>
        <w:tc>
          <w:tcPr>
            <w:tcW w:w="922" w:type="dxa"/>
            <w:tcBorders>
              <w:top w:val="nil"/>
              <w:left w:val="nil"/>
              <w:bottom w:val="dotted" w:sz="4" w:space="0" w:color="auto"/>
              <w:right w:val="single" w:sz="4"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3935</w:t>
            </w:r>
          </w:p>
        </w:tc>
      </w:tr>
      <w:tr w:rsidR="007C50D0" w:rsidRPr="007C50D0" w:rsidTr="00DC57D7">
        <w:trPr>
          <w:trHeight w:val="62"/>
        </w:trPr>
        <w:tc>
          <w:tcPr>
            <w:tcW w:w="1702" w:type="dxa"/>
            <w:tcBorders>
              <w:top w:val="nil"/>
              <w:left w:val="double" w:sz="6" w:space="0" w:color="auto"/>
              <w:bottom w:val="single" w:sz="8" w:space="0" w:color="auto"/>
              <w:right w:val="double" w:sz="6"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w:t>
            </w:r>
          </w:p>
        </w:tc>
        <w:tc>
          <w:tcPr>
            <w:tcW w:w="1275" w:type="dxa"/>
            <w:tcBorders>
              <w:top w:val="nil"/>
              <w:left w:val="nil"/>
              <w:bottom w:val="single" w:sz="8"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9,5</w:t>
            </w:r>
          </w:p>
        </w:tc>
        <w:tc>
          <w:tcPr>
            <w:tcW w:w="1285" w:type="dxa"/>
            <w:tcBorders>
              <w:top w:val="nil"/>
              <w:left w:val="nil"/>
              <w:bottom w:val="single" w:sz="8"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8,6</w:t>
            </w:r>
          </w:p>
        </w:tc>
        <w:tc>
          <w:tcPr>
            <w:tcW w:w="1486" w:type="dxa"/>
            <w:tcBorders>
              <w:top w:val="nil"/>
              <w:left w:val="nil"/>
              <w:bottom w:val="single" w:sz="8"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16,7</w:t>
            </w:r>
          </w:p>
        </w:tc>
        <w:tc>
          <w:tcPr>
            <w:tcW w:w="1340" w:type="dxa"/>
            <w:tcBorders>
              <w:top w:val="nil"/>
              <w:left w:val="nil"/>
              <w:bottom w:val="single" w:sz="8" w:space="0" w:color="auto"/>
              <w:right w:val="double" w:sz="6"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5,2</w:t>
            </w:r>
          </w:p>
        </w:tc>
        <w:tc>
          <w:tcPr>
            <w:tcW w:w="1204" w:type="dxa"/>
            <w:tcBorders>
              <w:top w:val="nil"/>
              <w:left w:val="nil"/>
              <w:bottom w:val="single" w:sz="8"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5,1</w:t>
            </w:r>
          </w:p>
        </w:tc>
        <w:tc>
          <w:tcPr>
            <w:tcW w:w="922" w:type="dxa"/>
            <w:tcBorders>
              <w:top w:val="nil"/>
              <w:left w:val="nil"/>
              <w:bottom w:val="single" w:sz="8" w:space="0" w:color="auto"/>
              <w:right w:val="single" w:sz="4"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5,2</w:t>
            </w:r>
          </w:p>
        </w:tc>
      </w:tr>
      <w:tr w:rsidR="007C50D0" w:rsidRPr="007C50D0" w:rsidTr="00DC57D7">
        <w:trPr>
          <w:trHeight w:val="52"/>
        </w:trPr>
        <w:tc>
          <w:tcPr>
            <w:tcW w:w="1702" w:type="dxa"/>
            <w:tcBorders>
              <w:top w:val="nil"/>
              <w:left w:val="double" w:sz="6" w:space="0" w:color="auto"/>
              <w:bottom w:val="dotted" w:sz="4" w:space="0" w:color="auto"/>
              <w:right w:val="double" w:sz="6"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2014</w:t>
            </w:r>
          </w:p>
        </w:tc>
        <w:tc>
          <w:tcPr>
            <w:tcW w:w="1275"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color w:val="000000"/>
                <w:sz w:val="24"/>
                <w:szCs w:val="24"/>
              </w:rPr>
            </w:pPr>
            <w:r w:rsidRPr="007C50D0">
              <w:rPr>
                <w:i/>
                <w:iCs/>
                <w:color w:val="000000"/>
                <w:sz w:val="24"/>
                <w:szCs w:val="24"/>
              </w:rPr>
              <w:t>24319</w:t>
            </w:r>
          </w:p>
        </w:tc>
        <w:tc>
          <w:tcPr>
            <w:tcW w:w="1285"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10295</w:t>
            </w:r>
          </w:p>
        </w:tc>
        <w:tc>
          <w:tcPr>
            <w:tcW w:w="1486"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color w:val="000000"/>
                <w:sz w:val="24"/>
                <w:szCs w:val="24"/>
              </w:rPr>
            </w:pPr>
            <w:r w:rsidRPr="007C50D0">
              <w:rPr>
                <w:i/>
                <w:iCs/>
                <w:color w:val="000000"/>
                <w:sz w:val="24"/>
                <w:szCs w:val="24"/>
              </w:rPr>
              <w:t>15466</w:t>
            </w:r>
          </w:p>
        </w:tc>
        <w:tc>
          <w:tcPr>
            <w:tcW w:w="1340" w:type="dxa"/>
            <w:tcBorders>
              <w:top w:val="nil"/>
              <w:left w:val="nil"/>
              <w:bottom w:val="dotted" w:sz="4" w:space="0" w:color="auto"/>
              <w:right w:val="double" w:sz="6"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6322</w:t>
            </w:r>
          </w:p>
        </w:tc>
        <w:tc>
          <w:tcPr>
            <w:tcW w:w="1204"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6028</w:t>
            </w:r>
          </w:p>
        </w:tc>
        <w:tc>
          <w:tcPr>
            <w:tcW w:w="922" w:type="dxa"/>
            <w:tcBorders>
              <w:top w:val="nil"/>
              <w:left w:val="nil"/>
              <w:bottom w:val="dotted" w:sz="4" w:space="0" w:color="auto"/>
              <w:right w:val="single" w:sz="4"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4127</w:t>
            </w:r>
          </w:p>
        </w:tc>
      </w:tr>
      <w:tr w:rsidR="007C50D0" w:rsidRPr="007C50D0" w:rsidTr="00DC57D7">
        <w:trPr>
          <w:trHeight w:val="62"/>
        </w:trPr>
        <w:tc>
          <w:tcPr>
            <w:tcW w:w="1702" w:type="dxa"/>
            <w:tcBorders>
              <w:top w:val="nil"/>
              <w:left w:val="double" w:sz="6" w:space="0" w:color="auto"/>
              <w:bottom w:val="double" w:sz="6" w:space="0" w:color="auto"/>
              <w:right w:val="double" w:sz="6"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w:t>
            </w:r>
          </w:p>
        </w:tc>
        <w:tc>
          <w:tcPr>
            <w:tcW w:w="1275"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17,8</w:t>
            </w:r>
          </w:p>
        </w:tc>
        <w:tc>
          <w:tcPr>
            <w:tcW w:w="1285"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7,5</w:t>
            </w:r>
          </w:p>
        </w:tc>
        <w:tc>
          <w:tcPr>
            <w:tcW w:w="1486"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11,3</w:t>
            </w:r>
          </w:p>
        </w:tc>
        <w:tc>
          <w:tcPr>
            <w:tcW w:w="1340" w:type="dxa"/>
            <w:tcBorders>
              <w:top w:val="nil"/>
              <w:left w:val="nil"/>
              <w:bottom w:val="double" w:sz="6" w:space="0" w:color="auto"/>
              <w:right w:val="double" w:sz="6"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4,6</w:t>
            </w:r>
          </w:p>
        </w:tc>
        <w:tc>
          <w:tcPr>
            <w:tcW w:w="1204"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5,4</w:t>
            </w:r>
          </w:p>
        </w:tc>
        <w:tc>
          <w:tcPr>
            <w:tcW w:w="922" w:type="dxa"/>
            <w:tcBorders>
              <w:top w:val="nil"/>
              <w:left w:val="nil"/>
              <w:bottom w:val="double" w:sz="6" w:space="0" w:color="auto"/>
              <w:right w:val="single" w:sz="4"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4,6</w:t>
            </w:r>
          </w:p>
        </w:tc>
      </w:tr>
      <w:tr w:rsidR="007C50D0" w:rsidRPr="007C50D0" w:rsidTr="00DC57D7">
        <w:trPr>
          <w:trHeight w:val="129"/>
        </w:trPr>
        <w:tc>
          <w:tcPr>
            <w:tcW w:w="1702" w:type="dxa"/>
            <w:tcBorders>
              <w:top w:val="nil"/>
              <w:left w:val="double" w:sz="6" w:space="0" w:color="auto"/>
              <w:bottom w:val="dotted" w:sz="4" w:space="0" w:color="auto"/>
              <w:right w:val="double" w:sz="6"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2015</w:t>
            </w:r>
          </w:p>
        </w:tc>
        <w:tc>
          <w:tcPr>
            <w:tcW w:w="1275"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color w:val="000000"/>
                <w:sz w:val="24"/>
                <w:szCs w:val="24"/>
              </w:rPr>
            </w:pPr>
            <w:r w:rsidRPr="007C50D0">
              <w:rPr>
                <w:i/>
                <w:iCs/>
                <w:color w:val="000000"/>
                <w:sz w:val="24"/>
                <w:szCs w:val="24"/>
              </w:rPr>
              <w:t>37294</w:t>
            </w:r>
          </w:p>
        </w:tc>
        <w:tc>
          <w:tcPr>
            <w:tcW w:w="1285"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11369</w:t>
            </w:r>
          </w:p>
        </w:tc>
        <w:tc>
          <w:tcPr>
            <w:tcW w:w="1486"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color w:val="000000"/>
                <w:sz w:val="24"/>
                <w:szCs w:val="24"/>
              </w:rPr>
            </w:pPr>
            <w:r w:rsidRPr="007C50D0">
              <w:rPr>
                <w:i/>
                <w:iCs/>
                <w:color w:val="000000"/>
                <w:sz w:val="24"/>
                <w:szCs w:val="24"/>
              </w:rPr>
              <w:t>15466</w:t>
            </w:r>
          </w:p>
        </w:tc>
        <w:tc>
          <w:tcPr>
            <w:tcW w:w="1340" w:type="dxa"/>
            <w:tcBorders>
              <w:top w:val="nil"/>
              <w:left w:val="nil"/>
              <w:bottom w:val="dotted" w:sz="4" w:space="0" w:color="auto"/>
              <w:right w:val="double" w:sz="6"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5611</w:t>
            </w:r>
          </w:p>
        </w:tc>
        <w:tc>
          <w:tcPr>
            <w:tcW w:w="1204"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6353</w:t>
            </w:r>
          </w:p>
        </w:tc>
        <w:tc>
          <w:tcPr>
            <w:tcW w:w="922" w:type="dxa"/>
            <w:tcBorders>
              <w:top w:val="nil"/>
              <w:left w:val="nil"/>
              <w:bottom w:val="dotted" w:sz="4" w:space="0" w:color="auto"/>
              <w:right w:val="single" w:sz="4"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4247</w:t>
            </w:r>
          </w:p>
        </w:tc>
      </w:tr>
      <w:tr w:rsidR="007C50D0" w:rsidRPr="007C50D0" w:rsidTr="00DC57D7">
        <w:trPr>
          <w:trHeight w:val="62"/>
        </w:trPr>
        <w:tc>
          <w:tcPr>
            <w:tcW w:w="1702" w:type="dxa"/>
            <w:tcBorders>
              <w:top w:val="nil"/>
              <w:left w:val="double" w:sz="6" w:space="0" w:color="auto"/>
              <w:bottom w:val="double" w:sz="6" w:space="0" w:color="auto"/>
              <w:right w:val="double" w:sz="6"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w:t>
            </w:r>
          </w:p>
        </w:tc>
        <w:tc>
          <w:tcPr>
            <w:tcW w:w="1275"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26,2</w:t>
            </w:r>
          </w:p>
        </w:tc>
        <w:tc>
          <w:tcPr>
            <w:tcW w:w="1285"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8,0</w:t>
            </w:r>
          </w:p>
        </w:tc>
        <w:tc>
          <w:tcPr>
            <w:tcW w:w="1486"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10,9</w:t>
            </w:r>
          </w:p>
        </w:tc>
        <w:tc>
          <w:tcPr>
            <w:tcW w:w="1340"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3,9</w:t>
            </w:r>
          </w:p>
        </w:tc>
        <w:tc>
          <w:tcPr>
            <w:tcW w:w="1204"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4,5</w:t>
            </w:r>
          </w:p>
        </w:tc>
        <w:tc>
          <w:tcPr>
            <w:tcW w:w="922" w:type="dxa"/>
            <w:tcBorders>
              <w:top w:val="nil"/>
              <w:left w:val="nil"/>
              <w:bottom w:val="double" w:sz="6" w:space="0" w:color="auto"/>
              <w:right w:val="single" w:sz="4"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3,0</w:t>
            </w:r>
          </w:p>
        </w:tc>
      </w:tr>
      <w:tr w:rsidR="007C50D0" w:rsidRPr="007C50D0" w:rsidTr="00DC57D7">
        <w:trPr>
          <w:trHeight w:val="27"/>
        </w:trPr>
        <w:tc>
          <w:tcPr>
            <w:tcW w:w="1702" w:type="dxa"/>
            <w:tcBorders>
              <w:top w:val="nil"/>
              <w:left w:val="double" w:sz="6" w:space="0" w:color="auto"/>
              <w:bottom w:val="dotted" w:sz="4" w:space="0" w:color="auto"/>
              <w:right w:val="double" w:sz="6"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2016</w:t>
            </w:r>
          </w:p>
        </w:tc>
        <w:tc>
          <w:tcPr>
            <w:tcW w:w="1275"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color w:val="000000"/>
                <w:sz w:val="24"/>
                <w:szCs w:val="24"/>
              </w:rPr>
            </w:pPr>
            <w:r w:rsidRPr="007C50D0">
              <w:rPr>
                <w:i/>
                <w:iCs/>
                <w:color w:val="000000"/>
                <w:sz w:val="24"/>
                <w:szCs w:val="24"/>
              </w:rPr>
              <w:t>29750</w:t>
            </w:r>
          </w:p>
        </w:tc>
        <w:tc>
          <w:tcPr>
            <w:tcW w:w="1285"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3835</w:t>
            </w:r>
          </w:p>
        </w:tc>
        <w:tc>
          <w:tcPr>
            <w:tcW w:w="1486"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color w:val="000000"/>
                <w:sz w:val="24"/>
                <w:szCs w:val="24"/>
              </w:rPr>
            </w:pPr>
            <w:r w:rsidRPr="007C50D0">
              <w:rPr>
                <w:i/>
                <w:iCs/>
                <w:color w:val="000000"/>
                <w:sz w:val="24"/>
                <w:szCs w:val="24"/>
              </w:rPr>
              <w:t>10287</w:t>
            </w:r>
          </w:p>
        </w:tc>
        <w:tc>
          <w:tcPr>
            <w:tcW w:w="1340" w:type="dxa"/>
            <w:tcBorders>
              <w:top w:val="nil"/>
              <w:left w:val="nil"/>
              <w:bottom w:val="dotted" w:sz="4" w:space="0" w:color="auto"/>
              <w:right w:val="double" w:sz="6"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7291</w:t>
            </w:r>
          </w:p>
        </w:tc>
        <w:tc>
          <w:tcPr>
            <w:tcW w:w="1204"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5865</w:t>
            </w:r>
          </w:p>
        </w:tc>
        <w:tc>
          <w:tcPr>
            <w:tcW w:w="922" w:type="dxa"/>
            <w:tcBorders>
              <w:top w:val="nil"/>
              <w:left w:val="nil"/>
              <w:bottom w:val="dotted" w:sz="4" w:space="0" w:color="auto"/>
              <w:right w:val="single" w:sz="4"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4546</w:t>
            </w:r>
          </w:p>
        </w:tc>
      </w:tr>
      <w:tr w:rsidR="007C50D0" w:rsidRPr="007C50D0" w:rsidTr="00DC57D7">
        <w:trPr>
          <w:trHeight w:val="91"/>
        </w:trPr>
        <w:tc>
          <w:tcPr>
            <w:tcW w:w="1702" w:type="dxa"/>
            <w:tcBorders>
              <w:top w:val="nil"/>
              <w:left w:val="double" w:sz="6" w:space="0" w:color="auto"/>
              <w:bottom w:val="double" w:sz="6" w:space="0" w:color="auto"/>
              <w:right w:val="double" w:sz="6"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w:t>
            </w:r>
          </w:p>
        </w:tc>
        <w:tc>
          <w:tcPr>
            <w:tcW w:w="1275"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20,9</w:t>
            </w:r>
          </w:p>
        </w:tc>
        <w:tc>
          <w:tcPr>
            <w:tcW w:w="1285"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2,7</w:t>
            </w:r>
          </w:p>
        </w:tc>
        <w:tc>
          <w:tcPr>
            <w:tcW w:w="1486"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7,2</w:t>
            </w:r>
          </w:p>
        </w:tc>
        <w:tc>
          <w:tcPr>
            <w:tcW w:w="1340"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5,1</w:t>
            </w:r>
          </w:p>
        </w:tc>
        <w:tc>
          <w:tcPr>
            <w:tcW w:w="1204"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4,1</w:t>
            </w:r>
          </w:p>
        </w:tc>
        <w:tc>
          <w:tcPr>
            <w:tcW w:w="922" w:type="dxa"/>
            <w:tcBorders>
              <w:top w:val="nil"/>
              <w:left w:val="nil"/>
              <w:bottom w:val="double" w:sz="6" w:space="0" w:color="auto"/>
              <w:right w:val="single" w:sz="4"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3,2</w:t>
            </w:r>
          </w:p>
        </w:tc>
      </w:tr>
      <w:tr w:rsidR="007C50D0" w:rsidRPr="007C50D0" w:rsidTr="00DC57D7">
        <w:trPr>
          <w:trHeight w:val="61"/>
        </w:trPr>
        <w:tc>
          <w:tcPr>
            <w:tcW w:w="1702" w:type="dxa"/>
            <w:tcBorders>
              <w:top w:val="nil"/>
              <w:left w:val="double" w:sz="6" w:space="0" w:color="auto"/>
              <w:bottom w:val="dotted" w:sz="4" w:space="0" w:color="auto"/>
              <w:right w:val="double" w:sz="6"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2017</w:t>
            </w:r>
          </w:p>
        </w:tc>
        <w:tc>
          <w:tcPr>
            <w:tcW w:w="1275"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color w:val="000000"/>
                <w:sz w:val="24"/>
                <w:szCs w:val="24"/>
              </w:rPr>
            </w:pPr>
            <w:r w:rsidRPr="007C50D0">
              <w:rPr>
                <w:i/>
                <w:iCs/>
                <w:color w:val="000000"/>
                <w:sz w:val="24"/>
                <w:szCs w:val="24"/>
              </w:rPr>
              <w:t>16856</w:t>
            </w:r>
          </w:p>
        </w:tc>
        <w:tc>
          <w:tcPr>
            <w:tcW w:w="1285"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10173</w:t>
            </w:r>
          </w:p>
        </w:tc>
        <w:tc>
          <w:tcPr>
            <w:tcW w:w="1486"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color w:val="000000"/>
                <w:sz w:val="24"/>
                <w:szCs w:val="24"/>
              </w:rPr>
            </w:pPr>
            <w:r w:rsidRPr="007C50D0">
              <w:rPr>
                <w:i/>
                <w:iCs/>
                <w:color w:val="000000"/>
                <w:sz w:val="24"/>
                <w:szCs w:val="24"/>
              </w:rPr>
              <w:t>9866</w:t>
            </w:r>
          </w:p>
        </w:tc>
        <w:tc>
          <w:tcPr>
            <w:tcW w:w="1340" w:type="dxa"/>
            <w:tcBorders>
              <w:top w:val="nil"/>
              <w:left w:val="nil"/>
              <w:bottom w:val="dotted" w:sz="4" w:space="0" w:color="auto"/>
              <w:right w:val="double" w:sz="6"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5551</w:t>
            </w:r>
          </w:p>
        </w:tc>
        <w:tc>
          <w:tcPr>
            <w:tcW w:w="1204"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5343</w:t>
            </w:r>
          </w:p>
        </w:tc>
        <w:tc>
          <w:tcPr>
            <w:tcW w:w="922" w:type="dxa"/>
            <w:tcBorders>
              <w:top w:val="nil"/>
              <w:left w:val="nil"/>
              <w:bottom w:val="dotted" w:sz="4" w:space="0" w:color="auto"/>
              <w:right w:val="single" w:sz="4"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4581</w:t>
            </w:r>
          </w:p>
        </w:tc>
      </w:tr>
      <w:tr w:rsidR="007C50D0" w:rsidRPr="007C50D0" w:rsidTr="00DC57D7">
        <w:trPr>
          <w:trHeight w:val="62"/>
        </w:trPr>
        <w:tc>
          <w:tcPr>
            <w:tcW w:w="1702" w:type="dxa"/>
            <w:tcBorders>
              <w:top w:val="nil"/>
              <w:left w:val="double" w:sz="6" w:space="0" w:color="auto"/>
              <w:bottom w:val="double" w:sz="6" w:space="0" w:color="auto"/>
              <w:right w:val="double" w:sz="6"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w:t>
            </w:r>
          </w:p>
        </w:tc>
        <w:tc>
          <w:tcPr>
            <w:tcW w:w="1275"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11,8</w:t>
            </w:r>
          </w:p>
        </w:tc>
        <w:tc>
          <w:tcPr>
            <w:tcW w:w="1285"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7,1</w:t>
            </w:r>
          </w:p>
        </w:tc>
        <w:tc>
          <w:tcPr>
            <w:tcW w:w="1486"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6,9</w:t>
            </w:r>
          </w:p>
        </w:tc>
        <w:tc>
          <w:tcPr>
            <w:tcW w:w="1340"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3,9</w:t>
            </w:r>
          </w:p>
        </w:tc>
        <w:tc>
          <w:tcPr>
            <w:tcW w:w="1204"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3,8</w:t>
            </w:r>
          </w:p>
        </w:tc>
        <w:tc>
          <w:tcPr>
            <w:tcW w:w="922" w:type="dxa"/>
            <w:tcBorders>
              <w:top w:val="nil"/>
              <w:left w:val="nil"/>
              <w:bottom w:val="double" w:sz="6" w:space="0" w:color="auto"/>
              <w:right w:val="single" w:sz="4" w:space="0" w:color="auto"/>
            </w:tcBorders>
            <w:shd w:val="clear" w:color="auto" w:fill="auto"/>
            <w:vAlign w:val="center"/>
            <w:hideMark/>
          </w:tcPr>
          <w:p w:rsidR="007C50D0" w:rsidRPr="007C50D0" w:rsidRDefault="007C50D0" w:rsidP="008619A6">
            <w:pPr>
              <w:contextualSpacing/>
              <w:jc w:val="center"/>
              <w:rPr>
                <w:b/>
                <w:bCs/>
                <w:i/>
                <w:iCs/>
                <w:sz w:val="24"/>
                <w:szCs w:val="24"/>
              </w:rPr>
            </w:pPr>
            <w:r w:rsidRPr="007C50D0">
              <w:rPr>
                <w:b/>
                <w:bCs/>
                <w:i/>
                <w:iCs/>
                <w:sz w:val="24"/>
                <w:szCs w:val="24"/>
              </w:rPr>
              <w:t>3,2</w:t>
            </w:r>
          </w:p>
        </w:tc>
      </w:tr>
    </w:tbl>
    <w:p w:rsidR="007C50D0" w:rsidRPr="007C50D0" w:rsidRDefault="007C50D0" w:rsidP="008619A6">
      <w:pPr>
        <w:ind w:firstLine="840"/>
        <w:contextualSpacing/>
        <w:jc w:val="both"/>
        <w:rPr>
          <w:sz w:val="28"/>
          <w:szCs w:val="28"/>
          <w:highlight w:val="yellow"/>
        </w:rPr>
      </w:pPr>
      <w:r w:rsidRPr="007C50D0">
        <w:rPr>
          <w:sz w:val="28"/>
          <w:szCs w:val="28"/>
        </w:rPr>
        <w:t xml:space="preserve">На втором месте дела о признании гражданина </w:t>
      </w:r>
      <w:proofErr w:type="gramStart"/>
      <w:r w:rsidRPr="007C50D0">
        <w:rPr>
          <w:sz w:val="28"/>
          <w:szCs w:val="28"/>
        </w:rPr>
        <w:t>недееспособным</w:t>
      </w:r>
      <w:proofErr w:type="gramEnd"/>
      <w:r w:rsidRPr="007C50D0">
        <w:rPr>
          <w:sz w:val="28"/>
          <w:szCs w:val="28"/>
        </w:rPr>
        <w:t xml:space="preserve"> или ограниченно дееспособным. Их доля среди дел особого производства составила 10,9%. Общее же количество дел этой категории (1836) по сравнению с прошлым годом уменьшилось на 3,3%.</w:t>
      </w:r>
    </w:p>
    <w:p w:rsidR="007C50D0" w:rsidRPr="007C50D0" w:rsidRDefault="007C50D0" w:rsidP="008619A6">
      <w:pPr>
        <w:ind w:firstLine="840"/>
        <w:contextualSpacing/>
        <w:jc w:val="both"/>
        <w:rPr>
          <w:sz w:val="28"/>
          <w:szCs w:val="28"/>
        </w:rPr>
      </w:pPr>
      <w:r w:rsidRPr="007C50D0">
        <w:rPr>
          <w:sz w:val="28"/>
          <w:szCs w:val="28"/>
        </w:rPr>
        <w:t xml:space="preserve">На третьем месте дела об исправлении записей в книге актов гражданского состояния. По сравнению с 2016 годом количество таких дел увеличилось в 1,7 раза и составило 1335 дел. Удельный вес таких дел среди дел особого производства в 2017 году также увеличился (+3,4%) и составил 7,9%. По сравнению с 2013 годом абсолютное значение показателя увеличилось на 38,2%. Пятилетний интервал наблюдения демонстрирует устойчивую тенденцию роста количества дел данной категории в судах республики. </w:t>
      </w:r>
    </w:p>
    <w:p w:rsidR="007C50D0" w:rsidRPr="007C50D0" w:rsidRDefault="007C50D0" w:rsidP="008619A6">
      <w:pPr>
        <w:ind w:firstLine="840"/>
        <w:contextualSpacing/>
        <w:jc w:val="both"/>
        <w:rPr>
          <w:sz w:val="28"/>
          <w:szCs w:val="28"/>
        </w:rPr>
      </w:pPr>
      <w:r w:rsidRPr="007C50D0">
        <w:rPr>
          <w:sz w:val="28"/>
          <w:szCs w:val="28"/>
        </w:rPr>
        <w:t xml:space="preserve">Достаточно весома также группа  дел о признании движимой вещи бесхозяйной и признании права муниципальной собственности на </w:t>
      </w:r>
      <w:r w:rsidRPr="007C50D0">
        <w:rPr>
          <w:sz w:val="28"/>
          <w:szCs w:val="28"/>
        </w:rPr>
        <w:lastRenderedPageBreak/>
        <w:t>бесхозяйную недвижимую вещь. Их удельный вес среди дел особого производства в 2017 году  по сравнению с прошлым годом несколько увеличился и составил 5,6% (+ 0,8%). Общее количество дел этой категории – 934, что превышает значение данного показателя в 2016 году на 12,8%. Рассмотрение 86,7% дел завершилось удовлетворением заявленного требования (для сравнения – в 2016 году было удовлетворено 95,7% требований). Пятилетний интервал наблюдения демонстрирует тенденцию роста количества таких обращений в суд.</w:t>
      </w:r>
    </w:p>
    <w:p w:rsidR="007C50D0" w:rsidRPr="007C50D0" w:rsidRDefault="007C50D0" w:rsidP="008619A6">
      <w:pPr>
        <w:ind w:firstLine="840"/>
        <w:contextualSpacing/>
        <w:jc w:val="both"/>
        <w:rPr>
          <w:sz w:val="28"/>
          <w:szCs w:val="28"/>
        </w:rPr>
      </w:pPr>
      <w:r w:rsidRPr="007C50D0">
        <w:rPr>
          <w:sz w:val="28"/>
          <w:szCs w:val="28"/>
        </w:rPr>
        <w:t>В общей сложности рассмотрено 16821 дело особого производства, что на 2,6% меньше, чем в прошлом году. Анализ статистических данных за период с 2013 по 2017 год позволяет говорить о сложившейся тенденции уменьшения общего количества дел особого производства.</w:t>
      </w:r>
    </w:p>
    <w:p w:rsidR="007C50D0" w:rsidRPr="007C50D0" w:rsidRDefault="007C50D0" w:rsidP="008619A6">
      <w:pPr>
        <w:ind w:firstLine="840"/>
        <w:contextualSpacing/>
        <w:jc w:val="both"/>
        <w:rPr>
          <w:sz w:val="28"/>
          <w:szCs w:val="28"/>
        </w:rPr>
      </w:pPr>
      <w:r w:rsidRPr="007C50D0">
        <w:rPr>
          <w:sz w:val="28"/>
          <w:szCs w:val="28"/>
          <w:u w:val="single"/>
        </w:rPr>
        <w:t>Результаты рассмотрения гражданских дел</w:t>
      </w:r>
      <w:r w:rsidRPr="007C50D0">
        <w:rPr>
          <w:sz w:val="28"/>
          <w:szCs w:val="28"/>
        </w:rPr>
        <w:t xml:space="preserve"> характеризуются следующими показателями. Как и в прошлом году, большинство оконченных гражданских дел — 70,6 % — рассмотрено судами с удовлетворением заявленного требования (-1,9% по отношению к 2016 году). Статистические данные за последние 5 лет демонстрируют тенденцию уменьшения данного показателя.</w:t>
      </w:r>
    </w:p>
    <w:p w:rsidR="007C50D0" w:rsidRDefault="007C50D0" w:rsidP="008619A6">
      <w:pPr>
        <w:ind w:firstLine="900"/>
        <w:contextualSpacing/>
        <w:jc w:val="both"/>
        <w:rPr>
          <w:sz w:val="24"/>
          <w:szCs w:val="24"/>
        </w:rPr>
      </w:pPr>
      <w:r w:rsidRPr="007C50D0">
        <w:rPr>
          <w:sz w:val="24"/>
          <w:szCs w:val="24"/>
        </w:rPr>
        <w:t xml:space="preserve">                                                                                                           График 10</w:t>
      </w:r>
    </w:p>
    <w:p w:rsidR="00892C51" w:rsidRPr="007C50D0" w:rsidRDefault="00892C51" w:rsidP="008619A6">
      <w:pPr>
        <w:ind w:firstLine="900"/>
        <w:contextualSpacing/>
        <w:jc w:val="both"/>
        <w:rPr>
          <w:sz w:val="24"/>
          <w:szCs w:val="24"/>
        </w:rPr>
      </w:pPr>
      <w:r>
        <w:rPr>
          <w:noProof/>
        </w:rPr>
        <w:drawing>
          <wp:inline distT="0" distB="0" distL="0" distR="0" wp14:anchorId="1CB8F258" wp14:editId="502E16E9">
            <wp:extent cx="4761470" cy="2215978"/>
            <wp:effectExtent l="0" t="0" r="20320" b="1333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C50D0" w:rsidRPr="007C50D0" w:rsidRDefault="007C50D0" w:rsidP="008619A6">
      <w:pPr>
        <w:ind w:firstLine="840"/>
        <w:contextualSpacing/>
        <w:jc w:val="both"/>
        <w:rPr>
          <w:sz w:val="28"/>
          <w:szCs w:val="28"/>
        </w:rPr>
      </w:pPr>
      <w:r w:rsidRPr="007C50D0">
        <w:rPr>
          <w:sz w:val="28"/>
          <w:szCs w:val="28"/>
        </w:rPr>
        <w:t>Общая сумма удовлетворенных исков составила более 22,2 млрд. руб., что на 2 млрд. руб. меньше, чем в 2016 году. За счет госпошлины, уплаченной при обращении в суд, государственный бюджет пополнился на 293,5 млн. руб.</w:t>
      </w:r>
    </w:p>
    <w:p w:rsidR="007C50D0" w:rsidRPr="007C50D0" w:rsidRDefault="007C50D0" w:rsidP="008619A6">
      <w:pPr>
        <w:ind w:firstLine="840"/>
        <w:contextualSpacing/>
        <w:jc w:val="both"/>
        <w:rPr>
          <w:sz w:val="28"/>
          <w:szCs w:val="28"/>
        </w:rPr>
      </w:pPr>
      <w:r w:rsidRPr="007C50D0">
        <w:rPr>
          <w:sz w:val="28"/>
          <w:szCs w:val="28"/>
        </w:rPr>
        <w:t>С отказом в удовлетворении заявленного требования закончилось 10309 гражданских дел, что на 10,4% меньше, чем в прошлом отчетном периоде. Удельный вес таких дел – 11,2% от общего количества рассмотренных (2016 год – 10,2%). За последние пять лет сложилась устойчивая тенденция увеличения доли дел, рассмотренных с отказом в удовлетворении заявленного требования.</w:t>
      </w:r>
    </w:p>
    <w:p w:rsidR="007C50D0" w:rsidRPr="007C50D0" w:rsidRDefault="007C50D0" w:rsidP="008619A6">
      <w:pPr>
        <w:ind w:firstLine="840"/>
        <w:contextualSpacing/>
        <w:jc w:val="both"/>
        <w:rPr>
          <w:sz w:val="28"/>
          <w:szCs w:val="28"/>
        </w:rPr>
      </w:pPr>
      <w:r w:rsidRPr="007C50D0">
        <w:rPr>
          <w:sz w:val="28"/>
          <w:szCs w:val="28"/>
        </w:rPr>
        <w:t xml:space="preserve">На 10,5% уменьшилось по сравнению с прошлым годом количество гражданских дел, рассмотрение которых было прекращено. В 2017 году с таким результатом было завершено 6468 гражданских дел (в 2016 году – 7229 дел). Их доля в общем количестве рассмотренных гражданских дел составила в отчетном периоде 7,0%. В 50,9% случаев дела прекращались из-за отказа </w:t>
      </w:r>
      <w:r w:rsidRPr="007C50D0">
        <w:rPr>
          <w:sz w:val="28"/>
          <w:szCs w:val="28"/>
        </w:rPr>
        <w:lastRenderedPageBreak/>
        <w:t>истцов от иска (3289 гражданских дел). В связи с заключением сторонами мирового соглашения прекращено 2286 гражданских дел, что составляет 35,3% от общего числа прекращенных. В том числе 0,5% (11 дел) прекращено на основании медиативного соглашения.</w:t>
      </w:r>
      <w:r w:rsidRPr="007C50D0">
        <w:rPr>
          <w:color w:val="0000FF"/>
          <w:sz w:val="28"/>
          <w:szCs w:val="28"/>
        </w:rPr>
        <w:t xml:space="preserve"> </w:t>
      </w:r>
      <w:r w:rsidRPr="007C50D0">
        <w:rPr>
          <w:sz w:val="28"/>
          <w:szCs w:val="28"/>
        </w:rPr>
        <w:t>Пятилетний интервал наблюдения позволяет говорить о стабильном уменьшении дел, прекращенных в связи с отказом истца от иска и стабильном увеличении дел, прекращенных в связи с примирением сторон, как в абсолютном, так и в относительном исчислении.</w:t>
      </w:r>
    </w:p>
    <w:p w:rsidR="007C50D0" w:rsidRPr="007C50D0" w:rsidRDefault="007C50D0" w:rsidP="008619A6">
      <w:pPr>
        <w:ind w:firstLine="708"/>
        <w:contextualSpacing/>
        <w:jc w:val="both"/>
        <w:rPr>
          <w:sz w:val="24"/>
          <w:szCs w:val="24"/>
        </w:rPr>
      </w:pPr>
      <w:r w:rsidRPr="007C50D0">
        <w:rPr>
          <w:sz w:val="24"/>
          <w:szCs w:val="24"/>
        </w:rPr>
        <w:t xml:space="preserve">                                                                                                                Таблица </w:t>
      </w:r>
      <w:r w:rsidR="00C02904">
        <w:rPr>
          <w:sz w:val="24"/>
          <w:szCs w:val="24"/>
        </w:rPr>
        <w:t>2</w:t>
      </w:r>
      <w:r w:rsidRPr="007C50D0">
        <w:rPr>
          <w:sz w:val="24"/>
          <w:szCs w:val="24"/>
        </w:rPr>
        <w:t>2</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276"/>
        <w:gridCol w:w="1276"/>
        <w:gridCol w:w="1275"/>
        <w:gridCol w:w="1276"/>
        <w:gridCol w:w="1417"/>
      </w:tblGrid>
      <w:tr w:rsidR="007C50D0" w:rsidRPr="007C50D0" w:rsidTr="0073408F">
        <w:trPr>
          <w:trHeight w:val="285"/>
        </w:trPr>
        <w:tc>
          <w:tcPr>
            <w:tcW w:w="9072" w:type="dxa"/>
            <w:gridSpan w:val="6"/>
            <w:tcBorders>
              <w:top w:val="double" w:sz="4" w:space="0" w:color="auto"/>
              <w:left w:val="double" w:sz="4" w:space="0" w:color="auto"/>
              <w:bottom w:val="single" w:sz="4" w:space="0" w:color="auto"/>
              <w:right w:val="doub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Основания прекращения гражданского производства</w:t>
            </w:r>
          </w:p>
        </w:tc>
      </w:tr>
      <w:tr w:rsidR="007C50D0" w:rsidRPr="007C50D0" w:rsidTr="0073408F">
        <w:trPr>
          <w:trHeight w:val="108"/>
        </w:trPr>
        <w:tc>
          <w:tcPr>
            <w:tcW w:w="2552" w:type="dxa"/>
            <w:tcBorders>
              <w:left w:val="double" w:sz="4" w:space="0" w:color="auto"/>
              <w:bottom w:val="thickThinLargeGap" w:sz="24" w:space="0" w:color="auto"/>
            </w:tcBorders>
            <w:shd w:val="clear" w:color="auto" w:fill="auto"/>
          </w:tcPr>
          <w:p w:rsidR="007C50D0" w:rsidRPr="007C50D0" w:rsidRDefault="007C50D0" w:rsidP="008619A6">
            <w:pPr>
              <w:contextualSpacing/>
              <w:jc w:val="center"/>
              <w:rPr>
                <w:b/>
                <w:sz w:val="24"/>
                <w:szCs w:val="24"/>
              </w:rPr>
            </w:pPr>
          </w:p>
        </w:tc>
        <w:tc>
          <w:tcPr>
            <w:tcW w:w="1276" w:type="dxa"/>
            <w:tcBorders>
              <w:bottom w:val="thickThinLargeGap" w:sz="2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2013</w:t>
            </w:r>
          </w:p>
        </w:tc>
        <w:tc>
          <w:tcPr>
            <w:tcW w:w="1276" w:type="dxa"/>
            <w:tcBorders>
              <w:bottom w:val="thickThinLargeGap" w:sz="2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2014</w:t>
            </w:r>
          </w:p>
        </w:tc>
        <w:tc>
          <w:tcPr>
            <w:tcW w:w="1275" w:type="dxa"/>
            <w:tcBorders>
              <w:bottom w:val="thickThinLargeGap" w:sz="2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2015</w:t>
            </w:r>
          </w:p>
        </w:tc>
        <w:tc>
          <w:tcPr>
            <w:tcW w:w="1276" w:type="dxa"/>
            <w:tcBorders>
              <w:bottom w:val="thickThinLargeGap" w:sz="2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2016</w:t>
            </w:r>
          </w:p>
        </w:tc>
        <w:tc>
          <w:tcPr>
            <w:tcW w:w="1417" w:type="dxa"/>
            <w:tcBorders>
              <w:bottom w:val="thickThinLargeGap" w:sz="24" w:space="0" w:color="auto"/>
              <w:right w:val="doub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73408F">
        <w:trPr>
          <w:trHeight w:val="146"/>
        </w:trPr>
        <w:tc>
          <w:tcPr>
            <w:tcW w:w="2552" w:type="dxa"/>
            <w:tcBorders>
              <w:top w:val="thickThinLargeGap" w:sz="24" w:space="0" w:color="auto"/>
              <w:left w:val="double" w:sz="4" w:space="0" w:color="auto"/>
            </w:tcBorders>
            <w:vAlign w:val="center"/>
          </w:tcPr>
          <w:p w:rsidR="007C50D0" w:rsidRPr="007C50D0" w:rsidRDefault="007C50D0" w:rsidP="008619A6">
            <w:pPr>
              <w:contextualSpacing/>
              <w:jc w:val="center"/>
              <w:rPr>
                <w:b/>
                <w:sz w:val="22"/>
                <w:szCs w:val="22"/>
              </w:rPr>
            </w:pPr>
            <w:r w:rsidRPr="007C50D0">
              <w:rPr>
                <w:b/>
                <w:sz w:val="22"/>
                <w:szCs w:val="22"/>
              </w:rPr>
              <w:t>Отказ истца от иска</w:t>
            </w:r>
          </w:p>
        </w:tc>
        <w:tc>
          <w:tcPr>
            <w:tcW w:w="1276" w:type="dxa"/>
            <w:tcBorders>
              <w:top w:val="thickThinLargeGap" w:sz="24" w:space="0" w:color="auto"/>
            </w:tcBorders>
            <w:vAlign w:val="center"/>
          </w:tcPr>
          <w:p w:rsidR="007C50D0" w:rsidRPr="007C50D0" w:rsidRDefault="007C50D0" w:rsidP="008619A6">
            <w:pPr>
              <w:contextualSpacing/>
              <w:jc w:val="center"/>
            </w:pPr>
            <w:r w:rsidRPr="007C50D0">
              <w:t>9942/</w:t>
            </w:r>
            <w:r w:rsidRPr="007C50D0">
              <w:rPr>
                <w:b/>
                <w:i/>
              </w:rPr>
              <w:t>78,2</w:t>
            </w:r>
            <w:r w:rsidR="0073408F">
              <w:rPr>
                <w:b/>
                <w:i/>
              </w:rPr>
              <w:t>%</w:t>
            </w:r>
          </w:p>
        </w:tc>
        <w:tc>
          <w:tcPr>
            <w:tcW w:w="1276" w:type="dxa"/>
            <w:tcBorders>
              <w:top w:val="thickThinLargeGap" w:sz="24" w:space="0" w:color="auto"/>
            </w:tcBorders>
            <w:vAlign w:val="center"/>
          </w:tcPr>
          <w:p w:rsidR="007C50D0" w:rsidRPr="007C50D0" w:rsidRDefault="007C50D0" w:rsidP="008619A6">
            <w:pPr>
              <w:contextualSpacing/>
              <w:jc w:val="center"/>
            </w:pPr>
            <w:r w:rsidRPr="007C50D0">
              <w:t>8683/</w:t>
            </w:r>
            <w:r w:rsidRPr="007C50D0">
              <w:rPr>
                <w:b/>
                <w:i/>
              </w:rPr>
              <w:t>74,8%</w:t>
            </w:r>
          </w:p>
        </w:tc>
        <w:tc>
          <w:tcPr>
            <w:tcW w:w="1275" w:type="dxa"/>
            <w:tcBorders>
              <w:top w:val="thickThinLargeGap" w:sz="24" w:space="0" w:color="auto"/>
            </w:tcBorders>
            <w:vAlign w:val="center"/>
          </w:tcPr>
          <w:p w:rsidR="007C50D0" w:rsidRPr="007C50D0" w:rsidRDefault="007C50D0" w:rsidP="008619A6">
            <w:pPr>
              <w:contextualSpacing/>
              <w:jc w:val="center"/>
            </w:pPr>
            <w:r w:rsidRPr="007C50D0">
              <w:t>6533/</w:t>
            </w:r>
            <w:r w:rsidRPr="007C50D0">
              <w:rPr>
                <w:b/>
                <w:i/>
              </w:rPr>
              <w:t>61,4%</w:t>
            </w:r>
          </w:p>
        </w:tc>
        <w:tc>
          <w:tcPr>
            <w:tcW w:w="1276" w:type="dxa"/>
            <w:tcBorders>
              <w:top w:val="thickThinLargeGap" w:sz="24" w:space="0" w:color="auto"/>
            </w:tcBorders>
            <w:vAlign w:val="center"/>
          </w:tcPr>
          <w:p w:rsidR="007C50D0" w:rsidRPr="007C50D0" w:rsidRDefault="007C50D0" w:rsidP="008619A6">
            <w:pPr>
              <w:contextualSpacing/>
              <w:jc w:val="center"/>
            </w:pPr>
            <w:r w:rsidRPr="007C50D0">
              <w:t>3801/</w:t>
            </w:r>
            <w:r w:rsidRPr="007C50D0">
              <w:rPr>
                <w:b/>
                <w:i/>
              </w:rPr>
              <w:t>52,6%</w:t>
            </w:r>
          </w:p>
        </w:tc>
        <w:tc>
          <w:tcPr>
            <w:tcW w:w="1417" w:type="dxa"/>
            <w:tcBorders>
              <w:top w:val="thickThinLargeGap" w:sz="24" w:space="0" w:color="auto"/>
              <w:right w:val="double" w:sz="4" w:space="0" w:color="auto"/>
            </w:tcBorders>
            <w:vAlign w:val="center"/>
          </w:tcPr>
          <w:p w:rsidR="007C50D0" w:rsidRPr="007C50D0" w:rsidRDefault="007C50D0" w:rsidP="008619A6">
            <w:pPr>
              <w:contextualSpacing/>
              <w:jc w:val="center"/>
            </w:pPr>
            <w:r w:rsidRPr="007C50D0">
              <w:t>2389/</w:t>
            </w:r>
            <w:r w:rsidRPr="007C50D0">
              <w:rPr>
                <w:b/>
                <w:i/>
              </w:rPr>
              <w:t>50,9%</w:t>
            </w:r>
          </w:p>
        </w:tc>
      </w:tr>
      <w:tr w:rsidR="007C50D0" w:rsidRPr="007C50D0" w:rsidTr="0073408F">
        <w:trPr>
          <w:trHeight w:val="90"/>
        </w:trPr>
        <w:tc>
          <w:tcPr>
            <w:tcW w:w="2552" w:type="dxa"/>
            <w:tcBorders>
              <w:top w:val="single" w:sz="4" w:space="0" w:color="auto"/>
              <w:left w:val="double" w:sz="4" w:space="0" w:color="auto"/>
              <w:bottom w:val="double" w:sz="4" w:space="0" w:color="auto"/>
            </w:tcBorders>
            <w:vAlign w:val="center"/>
          </w:tcPr>
          <w:p w:rsidR="007C50D0" w:rsidRPr="007C50D0" w:rsidRDefault="007C50D0" w:rsidP="008619A6">
            <w:pPr>
              <w:contextualSpacing/>
              <w:jc w:val="center"/>
              <w:rPr>
                <w:b/>
                <w:sz w:val="22"/>
                <w:szCs w:val="22"/>
              </w:rPr>
            </w:pPr>
            <w:r w:rsidRPr="007C50D0">
              <w:rPr>
                <w:b/>
                <w:sz w:val="22"/>
                <w:szCs w:val="22"/>
              </w:rPr>
              <w:t>Примирение сторон</w:t>
            </w:r>
          </w:p>
        </w:tc>
        <w:tc>
          <w:tcPr>
            <w:tcW w:w="1276" w:type="dxa"/>
            <w:tcBorders>
              <w:top w:val="single" w:sz="4" w:space="0" w:color="auto"/>
              <w:bottom w:val="double" w:sz="4" w:space="0" w:color="auto"/>
            </w:tcBorders>
            <w:vAlign w:val="center"/>
          </w:tcPr>
          <w:p w:rsidR="007C50D0" w:rsidRPr="007C50D0" w:rsidRDefault="007C50D0" w:rsidP="008619A6">
            <w:pPr>
              <w:contextualSpacing/>
              <w:jc w:val="center"/>
            </w:pPr>
            <w:r w:rsidRPr="007C50D0">
              <w:t>1924/</w:t>
            </w:r>
            <w:r w:rsidRPr="007C50D0">
              <w:rPr>
                <w:b/>
                <w:i/>
              </w:rPr>
              <w:t>15,1%</w:t>
            </w:r>
          </w:p>
        </w:tc>
        <w:tc>
          <w:tcPr>
            <w:tcW w:w="1276" w:type="dxa"/>
            <w:tcBorders>
              <w:top w:val="single" w:sz="4" w:space="0" w:color="auto"/>
              <w:bottom w:val="double" w:sz="4" w:space="0" w:color="auto"/>
            </w:tcBorders>
            <w:vAlign w:val="center"/>
          </w:tcPr>
          <w:p w:rsidR="007C50D0" w:rsidRPr="007C50D0" w:rsidRDefault="007C50D0" w:rsidP="008619A6">
            <w:pPr>
              <w:contextualSpacing/>
              <w:jc w:val="center"/>
            </w:pPr>
            <w:r w:rsidRPr="007C50D0">
              <w:t>1917/</w:t>
            </w:r>
            <w:r w:rsidRPr="007C50D0">
              <w:rPr>
                <w:b/>
                <w:i/>
              </w:rPr>
              <w:t>16,5%</w:t>
            </w:r>
          </w:p>
        </w:tc>
        <w:tc>
          <w:tcPr>
            <w:tcW w:w="1275" w:type="dxa"/>
            <w:tcBorders>
              <w:top w:val="single" w:sz="4" w:space="0" w:color="auto"/>
              <w:bottom w:val="double" w:sz="4" w:space="0" w:color="auto"/>
            </w:tcBorders>
            <w:vAlign w:val="center"/>
          </w:tcPr>
          <w:p w:rsidR="007C50D0" w:rsidRPr="007C50D0" w:rsidRDefault="007C50D0" w:rsidP="008619A6">
            <w:pPr>
              <w:contextualSpacing/>
              <w:jc w:val="center"/>
            </w:pPr>
            <w:r w:rsidRPr="007C50D0">
              <w:t>2017/</w:t>
            </w:r>
            <w:r w:rsidRPr="007C50D0">
              <w:rPr>
                <w:b/>
                <w:i/>
              </w:rPr>
              <w:t>19,0%</w:t>
            </w:r>
          </w:p>
        </w:tc>
        <w:tc>
          <w:tcPr>
            <w:tcW w:w="1276" w:type="dxa"/>
            <w:tcBorders>
              <w:top w:val="single" w:sz="4" w:space="0" w:color="auto"/>
              <w:bottom w:val="double" w:sz="4" w:space="0" w:color="auto"/>
            </w:tcBorders>
            <w:vAlign w:val="center"/>
          </w:tcPr>
          <w:p w:rsidR="007C50D0" w:rsidRPr="007C50D0" w:rsidRDefault="007C50D0" w:rsidP="008619A6">
            <w:pPr>
              <w:contextualSpacing/>
              <w:jc w:val="center"/>
            </w:pPr>
            <w:r w:rsidRPr="007C50D0">
              <w:t>2204/</w:t>
            </w:r>
            <w:r w:rsidRPr="007C50D0">
              <w:rPr>
                <w:b/>
                <w:i/>
              </w:rPr>
              <w:t>30,5%</w:t>
            </w:r>
          </w:p>
        </w:tc>
        <w:tc>
          <w:tcPr>
            <w:tcW w:w="1417" w:type="dxa"/>
            <w:tcBorders>
              <w:top w:val="single" w:sz="4" w:space="0" w:color="auto"/>
              <w:bottom w:val="double" w:sz="4" w:space="0" w:color="auto"/>
              <w:right w:val="double" w:sz="4" w:space="0" w:color="auto"/>
            </w:tcBorders>
            <w:vAlign w:val="center"/>
          </w:tcPr>
          <w:p w:rsidR="007C50D0" w:rsidRPr="007C50D0" w:rsidRDefault="007C50D0" w:rsidP="008619A6">
            <w:pPr>
              <w:contextualSpacing/>
              <w:jc w:val="center"/>
            </w:pPr>
            <w:r w:rsidRPr="007C50D0">
              <w:t>2286/</w:t>
            </w:r>
            <w:r w:rsidRPr="007C50D0">
              <w:rPr>
                <w:b/>
                <w:i/>
              </w:rPr>
              <w:t>35,3%</w:t>
            </w:r>
          </w:p>
        </w:tc>
      </w:tr>
    </w:tbl>
    <w:p w:rsidR="007C50D0" w:rsidRPr="007C50D0" w:rsidRDefault="007C50D0" w:rsidP="008619A6">
      <w:pPr>
        <w:ind w:firstLine="840"/>
        <w:contextualSpacing/>
        <w:jc w:val="both"/>
        <w:rPr>
          <w:sz w:val="28"/>
          <w:szCs w:val="28"/>
        </w:rPr>
      </w:pPr>
      <w:r w:rsidRPr="007C50D0">
        <w:rPr>
          <w:sz w:val="28"/>
          <w:szCs w:val="28"/>
        </w:rPr>
        <w:t xml:space="preserve">Количество дел, которые прекращались как не подлежащие рассмотрению и разрешению в суде в порядке гражданского судопроизводства, уменьшилось на 30,7% и составило 454 дела, или 7,0% от количества прекращенных (в 2016 году — 9,1%). </w:t>
      </w:r>
    </w:p>
    <w:p w:rsidR="007C50D0" w:rsidRPr="007C50D0" w:rsidRDefault="007C50D0" w:rsidP="008619A6">
      <w:pPr>
        <w:ind w:firstLine="840"/>
        <w:contextualSpacing/>
        <w:jc w:val="both"/>
        <w:rPr>
          <w:bCs/>
          <w:sz w:val="28"/>
          <w:szCs w:val="28"/>
        </w:rPr>
      </w:pPr>
      <w:r w:rsidRPr="007C50D0">
        <w:rPr>
          <w:sz w:val="28"/>
          <w:szCs w:val="28"/>
        </w:rPr>
        <w:t xml:space="preserve">В 2017 году в соответствии со статданными, представленными районными (городскими) судами, с нарушением процессуального срока рассмотрено 1168 гражданских дел, что на 24,8% меньше уровня прошлого отчетного периода. </w:t>
      </w:r>
      <w:r w:rsidRPr="007C50D0">
        <w:rPr>
          <w:bCs/>
          <w:sz w:val="28"/>
          <w:szCs w:val="28"/>
        </w:rPr>
        <w:t>Согласно статданным в 2017 году на 14,0% увеличилось количество дел, при подготовке которых к рассмотрению были вынесены определения о назначении предварительного судебного заседания в порядке части 3 статьи 152 ГПК РФ. В 2017 году данная процессуальная норма была применена при рассмотрении 4014 гражданских дел, что составляет 4,4% от общего количества рассмотренных.</w:t>
      </w:r>
    </w:p>
    <w:p w:rsidR="007C50D0" w:rsidRPr="007C50D0" w:rsidRDefault="007C50D0" w:rsidP="008619A6">
      <w:pPr>
        <w:ind w:firstLine="960"/>
        <w:contextualSpacing/>
        <w:jc w:val="both"/>
        <w:rPr>
          <w:bCs/>
          <w:sz w:val="28"/>
          <w:szCs w:val="28"/>
        </w:rPr>
      </w:pPr>
      <w:r w:rsidRPr="007C50D0">
        <w:rPr>
          <w:bCs/>
          <w:sz w:val="28"/>
          <w:szCs w:val="28"/>
        </w:rPr>
        <w:t>На Графике 12 представлена динамика применения судами данной нормы ГПК РФ.</w:t>
      </w:r>
      <w:r w:rsidRPr="007C50D0">
        <w:t xml:space="preserve"> </w:t>
      </w:r>
      <w:r w:rsidRPr="007C50D0">
        <w:rPr>
          <w:bCs/>
          <w:sz w:val="28"/>
          <w:szCs w:val="28"/>
        </w:rPr>
        <w:t>Несмотря на некоторое увеличение по сравнению с 2016 годом так называемых «сложных» дел, при рассмотрении которых применялась часть 3 статьи 152 ГПК РФ, очевидно, что применение данной нормы планомерно снижалось с 2015 года. При этом в 2017 году по сравнению с 2012 годом таких дел было в 1,3 раза меньше.</w:t>
      </w:r>
    </w:p>
    <w:p w:rsidR="007C50D0" w:rsidRDefault="007C50D0" w:rsidP="008619A6">
      <w:pPr>
        <w:contextualSpacing/>
        <w:jc w:val="both"/>
        <w:rPr>
          <w:sz w:val="24"/>
          <w:szCs w:val="24"/>
        </w:rPr>
      </w:pPr>
      <w:r w:rsidRPr="007C50D0">
        <w:rPr>
          <w:sz w:val="24"/>
          <w:szCs w:val="24"/>
        </w:rPr>
        <w:t xml:space="preserve">                                                                                                                    График  11</w:t>
      </w:r>
    </w:p>
    <w:p w:rsidR="0073408F" w:rsidRPr="007C50D0" w:rsidRDefault="0073408F" w:rsidP="0073408F">
      <w:pPr>
        <w:ind w:firstLine="851"/>
        <w:contextualSpacing/>
        <w:jc w:val="both"/>
        <w:rPr>
          <w:sz w:val="24"/>
          <w:szCs w:val="24"/>
        </w:rPr>
      </w:pPr>
      <w:r>
        <w:rPr>
          <w:noProof/>
        </w:rPr>
        <w:drawing>
          <wp:inline distT="0" distB="0" distL="0" distR="0" wp14:anchorId="1F33B6F8" wp14:editId="5D5E7B2C">
            <wp:extent cx="4827373" cy="2067697"/>
            <wp:effectExtent l="0" t="0" r="11430" b="2794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C50D0" w:rsidRPr="007C50D0" w:rsidRDefault="007C50D0" w:rsidP="008619A6">
      <w:pPr>
        <w:ind w:firstLine="851"/>
        <w:contextualSpacing/>
        <w:jc w:val="both"/>
        <w:rPr>
          <w:sz w:val="28"/>
        </w:rPr>
      </w:pPr>
      <w:r w:rsidRPr="007C50D0">
        <w:rPr>
          <w:sz w:val="28"/>
        </w:rPr>
        <w:t>Чаще всего данная норма при рассмотрении дел применялась в следующих судах.</w:t>
      </w:r>
    </w:p>
    <w:p w:rsidR="007C50D0" w:rsidRPr="007C50D0" w:rsidRDefault="007C50D0" w:rsidP="008619A6">
      <w:pPr>
        <w:ind w:firstLine="900"/>
        <w:contextualSpacing/>
        <w:jc w:val="center"/>
        <w:rPr>
          <w:sz w:val="24"/>
          <w:szCs w:val="24"/>
        </w:rPr>
      </w:pPr>
      <w:r w:rsidRPr="007C50D0">
        <w:rPr>
          <w:sz w:val="24"/>
          <w:szCs w:val="24"/>
        </w:rPr>
        <w:lastRenderedPageBreak/>
        <w:t xml:space="preserve">                                                                                                     Таблица </w:t>
      </w:r>
      <w:r w:rsidR="00C02904">
        <w:rPr>
          <w:sz w:val="24"/>
          <w:szCs w:val="24"/>
        </w:rPr>
        <w:t>23</w:t>
      </w:r>
    </w:p>
    <w:tbl>
      <w:tblPr>
        <w:tblW w:w="9193"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261"/>
        <w:gridCol w:w="1984"/>
        <w:gridCol w:w="2268"/>
        <w:gridCol w:w="1942"/>
      </w:tblGrid>
      <w:tr w:rsidR="007C50D0" w:rsidRPr="007C50D0" w:rsidTr="0073408F">
        <w:trPr>
          <w:trHeight w:val="1041"/>
        </w:trPr>
        <w:tc>
          <w:tcPr>
            <w:tcW w:w="738" w:type="dxa"/>
            <w:tcBorders>
              <w:top w:val="double" w:sz="4" w:space="0" w:color="auto"/>
              <w:left w:val="double" w:sz="4" w:space="0" w:color="auto"/>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p>
        </w:tc>
        <w:tc>
          <w:tcPr>
            <w:tcW w:w="2261" w:type="dxa"/>
            <w:tcBorders>
              <w:top w:val="double" w:sz="4" w:space="0" w:color="auto"/>
              <w:left w:val="doub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Наименование суда</w:t>
            </w:r>
          </w:p>
        </w:tc>
        <w:tc>
          <w:tcPr>
            <w:tcW w:w="1984" w:type="dxa"/>
            <w:tcBorders>
              <w:top w:val="doub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bCs/>
                <w:sz w:val="24"/>
                <w:szCs w:val="24"/>
              </w:rPr>
            </w:pPr>
            <w:r w:rsidRPr="007C50D0">
              <w:rPr>
                <w:b/>
                <w:bCs/>
                <w:sz w:val="24"/>
                <w:szCs w:val="24"/>
              </w:rPr>
              <w:t>Кол-во дел, рассмотренных с применением ч.3 ст. 152</w:t>
            </w:r>
          </w:p>
        </w:tc>
        <w:tc>
          <w:tcPr>
            <w:tcW w:w="2268" w:type="dxa"/>
            <w:tcBorders>
              <w:top w:val="doub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Наименование суда</w:t>
            </w:r>
          </w:p>
        </w:tc>
        <w:tc>
          <w:tcPr>
            <w:tcW w:w="1942" w:type="dxa"/>
            <w:tcBorders>
              <w:top w:val="double" w:sz="4" w:space="0" w:color="auto"/>
              <w:left w:val="single" w:sz="4" w:space="0" w:color="auto"/>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bCs/>
                <w:sz w:val="24"/>
                <w:szCs w:val="24"/>
              </w:rPr>
            </w:pPr>
            <w:r w:rsidRPr="007C50D0">
              <w:rPr>
                <w:b/>
                <w:bCs/>
                <w:sz w:val="24"/>
                <w:szCs w:val="24"/>
              </w:rPr>
              <w:t>Кол-во дел, рассмотренных с применением ч.3 ст. 152</w:t>
            </w:r>
          </w:p>
        </w:tc>
      </w:tr>
      <w:tr w:rsidR="007C50D0" w:rsidRPr="007C50D0" w:rsidTr="0073408F">
        <w:trPr>
          <w:trHeight w:val="19"/>
        </w:trPr>
        <w:tc>
          <w:tcPr>
            <w:tcW w:w="738" w:type="dxa"/>
            <w:tcBorders>
              <w:top w:val="thickThinLargeGap" w:sz="2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highlight w:val="yellow"/>
              </w:rPr>
            </w:pPr>
          </w:p>
        </w:tc>
        <w:tc>
          <w:tcPr>
            <w:tcW w:w="4245" w:type="dxa"/>
            <w:gridSpan w:val="2"/>
            <w:tcBorders>
              <w:top w:val="thickThinLargeGap" w:sz="24" w:space="0" w:color="auto"/>
              <w:left w:val="double" w:sz="4" w:space="0" w:color="auto"/>
              <w:bottom w:val="dotted" w:sz="4" w:space="0" w:color="auto"/>
            </w:tcBorders>
            <w:shd w:val="clear" w:color="auto" w:fill="auto"/>
            <w:vAlign w:val="center"/>
          </w:tcPr>
          <w:p w:rsidR="007C50D0" w:rsidRPr="007C50D0" w:rsidRDefault="007C50D0" w:rsidP="008619A6">
            <w:pPr>
              <w:contextualSpacing/>
              <w:jc w:val="center"/>
              <w:rPr>
                <w:b/>
                <w:bCs/>
                <w:sz w:val="24"/>
                <w:szCs w:val="24"/>
              </w:rPr>
            </w:pPr>
            <w:r w:rsidRPr="007C50D0">
              <w:rPr>
                <w:b/>
                <w:bCs/>
                <w:sz w:val="24"/>
                <w:szCs w:val="24"/>
              </w:rPr>
              <w:t>2016 год</w:t>
            </w:r>
          </w:p>
        </w:tc>
        <w:tc>
          <w:tcPr>
            <w:tcW w:w="4210" w:type="dxa"/>
            <w:gridSpan w:val="2"/>
            <w:tcBorders>
              <w:top w:val="thickThinLargeGap" w:sz="2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b/>
                <w:bCs/>
                <w:sz w:val="24"/>
                <w:szCs w:val="24"/>
              </w:rPr>
            </w:pPr>
            <w:r w:rsidRPr="007C50D0">
              <w:rPr>
                <w:b/>
                <w:bCs/>
                <w:sz w:val="24"/>
                <w:szCs w:val="24"/>
              </w:rPr>
              <w:t>2017 год</w:t>
            </w:r>
          </w:p>
        </w:tc>
      </w:tr>
      <w:tr w:rsidR="007C50D0" w:rsidRPr="007C50D0" w:rsidTr="0073408F">
        <w:trPr>
          <w:trHeight w:val="269"/>
        </w:trPr>
        <w:tc>
          <w:tcPr>
            <w:tcW w:w="738" w:type="dxa"/>
            <w:tcBorders>
              <w:top w:val="thickThinLargeGap" w:sz="2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1</w:t>
            </w:r>
          </w:p>
        </w:tc>
        <w:tc>
          <w:tcPr>
            <w:tcW w:w="2261" w:type="dxa"/>
            <w:tcBorders>
              <w:top w:val="thickThinLargeGap" w:sz="24" w:space="0" w:color="auto"/>
              <w:left w:val="double" w:sz="4" w:space="0" w:color="auto"/>
              <w:bottom w:val="dotted" w:sz="4" w:space="0" w:color="auto"/>
            </w:tcBorders>
            <w:shd w:val="clear" w:color="auto" w:fill="auto"/>
            <w:vAlign w:val="center"/>
          </w:tcPr>
          <w:p w:rsidR="007C50D0" w:rsidRPr="007C50D0" w:rsidRDefault="007C50D0" w:rsidP="0073408F">
            <w:pPr>
              <w:contextualSpacing/>
              <w:rPr>
                <w:sz w:val="24"/>
                <w:szCs w:val="24"/>
              </w:rPr>
            </w:pPr>
            <w:proofErr w:type="spellStart"/>
            <w:r w:rsidRPr="007C50D0">
              <w:rPr>
                <w:sz w:val="24"/>
                <w:szCs w:val="24"/>
              </w:rPr>
              <w:t>Вахитовский</w:t>
            </w:r>
            <w:proofErr w:type="spellEnd"/>
          </w:p>
        </w:tc>
        <w:tc>
          <w:tcPr>
            <w:tcW w:w="1984" w:type="dxa"/>
            <w:tcBorders>
              <w:top w:val="thickThinLargeGap" w:sz="24" w:space="0" w:color="auto"/>
              <w:bottom w:val="dotted"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1891</w:t>
            </w:r>
          </w:p>
        </w:tc>
        <w:tc>
          <w:tcPr>
            <w:tcW w:w="2268" w:type="dxa"/>
            <w:tcBorders>
              <w:top w:val="thickThinLargeGap" w:sz="24" w:space="0" w:color="auto"/>
              <w:bottom w:val="dotted" w:sz="4" w:space="0" w:color="auto"/>
            </w:tcBorders>
            <w:shd w:val="clear" w:color="auto" w:fill="auto"/>
            <w:vAlign w:val="center"/>
          </w:tcPr>
          <w:p w:rsidR="007C50D0" w:rsidRPr="007C50D0" w:rsidRDefault="007C50D0" w:rsidP="0073408F">
            <w:pPr>
              <w:contextualSpacing/>
              <w:rPr>
                <w:sz w:val="24"/>
                <w:szCs w:val="24"/>
              </w:rPr>
            </w:pPr>
            <w:proofErr w:type="spellStart"/>
            <w:r w:rsidRPr="007C50D0">
              <w:rPr>
                <w:sz w:val="24"/>
                <w:szCs w:val="24"/>
              </w:rPr>
              <w:t>Вахитовский</w:t>
            </w:r>
            <w:proofErr w:type="spellEnd"/>
          </w:p>
        </w:tc>
        <w:tc>
          <w:tcPr>
            <w:tcW w:w="1942" w:type="dxa"/>
            <w:tcBorders>
              <w:top w:val="thickThinLargeGap" w:sz="2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2874</w:t>
            </w:r>
          </w:p>
        </w:tc>
      </w:tr>
      <w:tr w:rsidR="007C50D0" w:rsidRPr="007C50D0" w:rsidTr="0073408F">
        <w:trPr>
          <w:trHeight w:val="133"/>
        </w:trPr>
        <w:tc>
          <w:tcPr>
            <w:tcW w:w="738" w:type="dxa"/>
            <w:tcBorders>
              <w:top w:val="dotted"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2</w:t>
            </w:r>
          </w:p>
        </w:tc>
        <w:tc>
          <w:tcPr>
            <w:tcW w:w="2261" w:type="dxa"/>
            <w:tcBorders>
              <w:top w:val="dotted" w:sz="4" w:space="0" w:color="auto"/>
              <w:left w:val="double" w:sz="4" w:space="0" w:color="auto"/>
              <w:bottom w:val="dotted" w:sz="4" w:space="0" w:color="auto"/>
              <w:right w:val="single" w:sz="4" w:space="0" w:color="auto"/>
            </w:tcBorders>
            <w:shd w:val="clear" w:color="auto" w:fill="auto"/>
            <w:vAlign w:val="center"/>
          </w:tcPr>
          <w:p w:rsidR="007C50D0" w:rsidRPr="007C50D0" w:rsidRDefault="007C50D0" w:rsidP="0073408F">
            <w:pPr>
              <w:contextualSpacing/>
              <w:rPr>
                <w:sz w:val="24"/>
                <w:szCs w:val="24"/>
              </w:rPr>
            </w:pPr>
            <w:proofErr w:type="spellStart"/>
            <w:r w:rsidRPr="007C50D0">
              <w:rPr>
                <w:sz w:val="24"/>
                <w:szCs w:val="24"/>
              </w:rPr>
              <w:t>Чистопольский</w:t>
            </w:r>
            <w:proofErr w:type="spellEnd"/>
          </w:p>
        </w:tc>
        <w:tc>
          <w:tcPr>
            <w:tcW w:w="1984" w:type="dxa"/>
            <w:tcBorders>
              <w:top w:val="dotted" w:sz="4" w:space="0" w:color="auto"/>
              <w:left w:val="single" w:sz="4" w:space="0" w:color="auto"/>
              <w:bottom w:val="dotted"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484</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center"/>
          </w:tcPr>
          <w:p w:rsidR="007C50D0" w:rsidRPr="007C50D0" w:rsidRDefault="007C50D0" w:rsidP="0073408F">
            <w:pPr>
              <w:contextualSpacing/>
              <w:rPr>
                <w:sz w:val="24"/>
                <w:szCs w:val="24"/>
              </w:rPr>
            </w:pPr>
            <w:r w:rsidRPr="007C50D0">
              <w:rPr>
                <w:sz w:val="24"/>
                <w:szCs w:val="24"/>
              </w:rPr>
              <w:t>Приволжский</w:t>
            </w:r>
          </w:p>
        </w:tc>
        <w:tc>
          <w:tcPr>
            <w:tcW w:w="1942" w:type="dxa"/>
            <w:tcBorders>
              <w:top w:val="dotted" w:sz="4" w:space="0" w:color="auto"/>
              <w:left w:val="sing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347</w:t>
            </w:r>
          </w:p>
        </w:tc>
      </w:tr>
      <w:tr w:rsidR="007C50D0" w:rsidRPr="007C50D0" w:rsidTr="0073408F">
        <w:trPr>
          <w:trHeight w:val="254"/>
        </w:trPr>
        <w:tc>
          <w:tcPr>
            <w:tcW w:w="738" w:type="dxa"/>
            <w:tcBorders>
              <w:top w:val="dotted"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3</w:t>
            </w:r>
          </w:p>
        </w:tc>
        <w:tc>
          <w:tcPr>
            <w:tcW w:w="2261" w:type="dxa"/>
            <w:tcBorders>
              <w:top w:val="dotted" w:sz="4" w:space="0" w:color="auto"/>
              <w:left w:val="double" w:sz="4" w:space="0" w:color="auto"/>
              <w:bottom w:val="dotted" w:sz="4" w:space="0" w:color="auto"/>
            </w:tcBorders>
            <w:shd w:val="clear" w:color="auto" w:fill="auto"/>
            <w:vAlign w:val="center"/>
          </w:tcPr>
          <w:p w:rsidR="007C50D0" w:rsidRPr="007C50D0" w:rsidRDefault="007C50D0" w:rsidP="0073408F">
            <w:pPr>
              <w:contextualSpacing/>
              <w:rPr>
                <w:sz w:val="24"/>
                <w:szCs w:val="24"/>
              </w:rPr>
            </w:pPr>
            <w:r w:rsidRPr="007C50D0">
              <w:rPr>
                <w:sz w:val="24"/>
                <w:szCs w:val="24"/>
              </w:rPr>
              <w:t>Советский</w:t>
            </w:r>
          </w:p>
        </w:tc>
        <w:tc>
          <w:tcPr>
            <w:tcW w:w="1984" w:type="dxa"/>
            <w:tcBorders>
              <w:top w:val="dotted" w:sz="4" w:space="0" w:color="auto"/>
              <w:bottom w:val="dotted"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295</w:t>
            </w:r>
          </w:p>
        </w:tc>
        <w:tc>
          <w:tcPr>
            <w:tcW w:w="2268" w:type="dxa"/>
            <w:tcBorders>
              <w:top w:val="dotted" w:sz="4" w:space="0" w:color="auto"/>
              <w:bottom w:val="dotted" w:sz="4" w:space="0" w:color="auto"/>
            </w:tcBorders>
            <w:shd w:val="clear" w:color="auto" w:fill="auto"/>
            <w:vAlign w:val="center"/>
          </w:tcPr>
          <w:p w:rsidR="007C50D0" w:rsidRPr="007C50D0" w:rsidRDefault="007C50D0" w:rsidP="0073408F">
            <w:pPr>
              <w:contextualSpacing/>
              <w:rPr>
                <w:sz w:val="24"/>
                <w:szCs w:val="24"/>
              </w:rPr>
            </w:pPr>
            <w:r w:rsidRPr="007C50D0">
              <w:rPr>
                <w:sz w:val="24"/>
                <w:szCs w:val="24"/>
              </w:rPr>
              <w:t>Ново-Савиновский</w:t>
            </w:r>
          </w:p>
        </w:tc>
        <w:tc>
          <w:tcPr>
            <w:tcW w:w="1942" w:type="dxa"/>
            <w:tcBorders>
              <w:top w:val="dotted"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301</w:t>
            </w:r>
          </w:p>
        </w:tc>
      </w:tr>
      <w:tr w:rsidR="007C50D0" w:rsidRPr="007C50D0" w:rsidTr="0073408F">
        <w:trPr>
          <w:trHeight w:val="254"/>
        </w:trPr>
        <w:tc>
          <w:tcPr>
            <w:tcW w:w="738" w:type="dxa"/>
            <w:tcBorders>
              <w:top w:val="dotted"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4</w:t>
            </w:r>
          </w:p>
        </w:tc>
        <w:tc>
          <w:tcPr>
            <w:tcW w:w="2261" w:type="dxa"/>
            <w:tcBorders>
              <w:top w:val="dotted" w:sz="4" w:space="0" w:color="auto"/>
              <w:left w:val="double" w:sz="4" w:space="0" w:color="auto"/>
              <w:bottom w:val="dotted" w:sz="4" w:space="0" w:color="auto"/>
            </w:tcBorders>
            <w:shd w:val="clear" w:color="auto" w:fill="auto"/>
            <w:vAlign w:val="center"/>
          </w:tcPr>
          <w:p w:rsidR="007C50D0" w:rsidRPr="007C50D0" w:rsidRDefault="007C50D0" w:rsidP="0073408F">
            <w:pPr>
              <w:contextualSpacing/>
              <w:rPr>
                <w:sz w:val="24"/>
                <w:szCs w:val="24"/>
              </w:rPr>
            </w:pPr>
            <w:r w:rsidRPr="007C50D0">
              <w:rPr>
                <w:sz w:val="24"/>
                <w:szCs w:val="24"/>
              </w:rPr>
              <w:t>Приволжский</w:t>
            </w:r>
          </w:p>
        </w:tc>
        <w:tc>
          <w:tcPr>
            <w:tcW w:w="1984" w:type="dxa"/>
            <w:tcBorders>
              <w:top w:val="dotted" w:sz="4" w:space="0" w:color="auto"/>
              <w:bottom w:val="dotted"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286</w:t>
            </w:r>
          </w:p>
        </w:tc>
        <w:tc>
          <w:tcPr>
            <w:tcW w:w="2268" w:type="dxa"/>
            <w:tcBorders>
              <w:top w:val="dotted" w:sz="4" w:space="0" w:color="auto"/>
              <w:bottom w:val="dotted" w:sz="4" w:space="0" w:color="auto"/>
            </w:tcBorders>
            <w:shd w:val="clear" w:color="auto" w:fill="auto"/>
            <w:vAlign w:val="center"/>
          </w:tcPr>
          <w:p w:rsidR="007C50D0" w:rsidRPr="007C50D0" w:rsidRDefault="007C50D0" w:rsidP="0073408F">
            <w:pPr>
              <w:contextualSpacing/>
              <w:rPr>
                <w:sz w:val="24"/>
                <w:szCs w:val="24"/>
              </w:rPr>
            </w:pPr>
            <w:r w:rsidRPr="007C50D0">
              <w:rPr>
                <w:sz w:val="24"/>
                <w:szCs w:val="24"/>
              </w:rPr>
              <w:t>Московский</w:t>
            </w:r>
          </w:p>
        </w:tc>
        <w:tc>
          <w:tcPr>
            <w:tcW w:w="1942" w:type="dxa"/>
            <w:tcBorders>
              <w:top w:val="dotted"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151</w:t>
            </w:r>
          </w:p>
        </w:tc>
      </w:tr>
      <w:tr w:rsidR="007C50D0" w:rsidRPr="007C50D0" w:rsidTr="0073408F">
        <w:trPr>
          <w:trHeight w:val="254"/>
        </w:trPr>
        <w:tc>
          <w:tcPr>
            <w:tcW w:w="738" w:type="dxa"/>
            <w:tcBorders>
              <w:top w:val="dotted"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5</w:t>
            </w:r>
          </w:p>
        </w:tc>
        <w:tc>
          <w:tcPr>
            <w:tcW w:w="2261" w:type="dxa"/>
            <w:tcBorders>
              <w:top w:val="dotted" w:sz="4" w:space="0" w:color="auto"/>
              <w:left w:val="double" w:sz="4" w:space="0" w:color="auto"/>
              <w:bottom w:val="dotted" w:sz="4" w:space="0" w:color="auto"/>
            </w:tcBorders>
            <w:shd w:val="clear" w:color="auto" w:fill="auto"/>
            <w:vAlign w:val="center"/>
          </w:tcPr>
          <w:p w:rsidR="007C50D0" w:rsidRPr="007C50D0" w:rsidRDefault="007C50D0" w:rsidP="0073408F">
            <w:pPr>
              <w:contextualSpacing/>
              <w:rPr>
                <w:sz w:val="24"/>
                <w:szCs w:val="24"/>
              </w:rPr>
            </w:pPr>
            <w:r w:rsidRPr="007C50D0">
              <w:rPr>
                <w:sz w:val="24"/>
                <w:szCs w:val="24"/>
              </w:rPr>
              <w:t>Московский</w:t>
            </w:r>
          </w:p>
        </w:tc>
        <w:tc>
          <w:tcPr>
            <w:tcW w:w="1984" w:type="dxa"/>
            <w:tcBorders>
              <w:top w:val="dotted" w:sz="4" w:space="0" w:color="auto"/>
              <w:bottom w:val="dotted"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213</w:t>
            </w:r>
          </w:p>
        </w:tc>
        <w:tc>
          <w:tcPr>
            <w:tcW w:w="2268" w:type="dxa"/>
            <w:tcBorders>
              <w:top w:val="dotted" w:sz="4" w:space="0" w:color="auto"/>
              <w:bottom w:val="dotted" w:sz="4" w:space="0" w:color="auto"/>
            </w:tcBorders>
            <w:shd w:val="clear" w:color="auto" w:fill="auto"/>
            <w:vAlign w:val="center"/>
          </w:tcPr>
          <w:p w:rsidR="007C50D0" w:rsidRPr="007C50D0" w:rsidRDefault="007C50D0" w:rsidP="0073408F">
            <w:pPr>
              <w:contextualSpacing/>
              <w:rPr>
                <w:sz w:val="24"/>
                <w:szCs w:val="24"/>
              </w:rPr>
            </w:pPr>
            <w:proofErr w:type="spellStart"/>
            <w:r w:rsidRPr="007C50D0">
              <w:rPr>
                <w:sz w:val="24"/>
                <w:szCs w:val="24"/>
              </w:rPr>
              <w:t>Альметьевский</w:t>
            </w:r>
            <w:proofErr w:type="spellEnd"/>
          </w:p>
        </w:tc>
        <w:tc>
          <w:tcPr>
            <w:tcW w:w="1942" w:type="dxa"/>
            <w:tcBorders>
              <w:top w:val="dotted"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110</w:t>
            </w:r>
          </w:p>
        </w:tc>
      </w:tr>
      <w:tr w:rsidR="007C50D0" w:rsidRPr="007C50D0" w:rsidTr="0073408F">
        <w:trPr>
          <w:trHeight w:val="254"/>
        </w:trPr>
        <w:tc>
          <w:tcPr>
            <w:tcW w:w="738" w:type="dxa"/>
            <w:tcBorders>
              <w:top w:val="dotted"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6</w:t>
            </w:r>
          </w:p>
        </w:tc>
        <w:tc>
          <w:tcPr>
            <w:tcW w:w="2261" w:type="dxa"/>
            <w:tcBorders>
              <w:top w:val="dotted" w:sz="4" w:space="0" w:color="auto"/>
              <w:left w:val="double" w:sz="4" w:space="0" w:color="auto"/>
              <w:bottom w:val="dotted" w:sz="4" w:space="0" w:color="auto"/>
            </w:tcBorders>
            <w:shd w:val="clear" w:color="auto" w:fill="auto"/>
            <w:vAlign w:val="center"/>
          </w:tcPr>
          <w:p w:rsidR="007C50D0" w:rsidRPr="007C50D0" w:rsidRDefault="007C50D0" w:rsidP="0073408F">
            <w:pPr>
              <w:contextualSpacing/>
              <w:rPr>
                <w:sz w:val="24"/>
                <w:szCs w:val="24"/>
              </w:rPr>
            </w:pPr>
            <w:r w:rsidRPr="007C50D0">
              <w:rPr>
                <w:sz w:val="24"/>
                <w:szCs w:val="24"/>
              </w:rPr>
              <w:t>Ново-Савиновский</w:t>
            </w:r>
          </w:p>
        </w:tc>
        <w:tc>
          <w:tcPr>
            <w:tcW w:w="1984" w:type="dxa"/>
            <w:tcBorders>
              <w:top w:val="dotted" w:sz="4" w:space="0" w:color="auto"/>
              <w:bottom w:val="dotted"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172</w:t>
            </w:r>
          </w:p>
        </w:tc>
        <w:tc>
          <w:tcPr>
            <w:tcW w:w="2268" w:type="dxa"/>
            <w:tcBorders>
              <w:top w:val="dotted" w:sz="4" w:space="0" w:color="auto"/>
              <w:bottom w:val="dotted" w:sz="4" w:space="0" w:color="auto"/>
            </w:tcBorders>
            <w:shd w:val="clear" w:color="auto" w:fill="auto"/>
            <w:vAlign w:val="center"/>
          </w:tcPr>
          <w:p w:rsidR="007C50D0" w:rsidRPr="007C50D0" w:rsidRDefault="007C50D0" w:rsidP="0073408F">
            <w:pPr>
              <w:contextualSpacing/>
              <w:rPr>
                <w:sz w:val="24"/>
                <w:szCs w:val="24"/>
              </w:rPr>
            </w:pPr>
            <w:r w:rsidRPr="007C50D0">
              <w:rPr>
                <w:sz w:val="24"/>
                <w:szCs w:val="24"/>
              </w:rPr>
              <w:t>Советский</w:t>
            </w:r>
          </w:p>
        </w:tc>
        <w:tc>
          <w:tcPr>
            <w:tcW w:w="1942" w:type="dxa"/>
            <w:tcBorders>
              <w:top w:val="dotted"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84</w:t>
            </w:r>
          </w:p>
        </w:tc>
      </w:tr>
      <w:tr w:rsidR="007C50D0" w:rsidRPr="007C50D0" w:rsidTr="0073408F">
        <w:trPr>
          <w:trHeight w:val="254"/>
        </w:trPr>
        <w:tc>
          <w:tcPr>
            <w:tcW w:w="738" w:type="dxa"/>
            <w:tcBorders>
              <w:top w:val="dotted"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7</w:t>
            </w:r>
          </w:p>
        </w:tc>
        <w:tc>
          <w:tcPr>
            <w:tcW w:w="2261" w:type="dxa"/>
            <w:tcBorders>
              <w:top w:val="dotted" w:sz="4" w:space="0" w:color="auto"/>
              <w:left w:val="double" w:sz="4" w:space="0" w:color="auto"/>
              <w:bottom w:val="dotted" w:sz="4" w:space="0" w:color="auto"/>
            </w:tcBorders>
            <w:shd w:val="clear" w:color="auto" w:fill="auto"/>
            <w:vAlign w:val="center"/>
          </w:tcPr>
          <w:p w:rsidR="007C50D0" w:rsidRPr="007C50D0" w:rsidRDefault="007C50D0" w:rsidP="0073408F">
            <w:pPr>
              <w:contextualSpacing/>
              <w:rPr>
                <w:sz w:val="24"/>
                <w:szCs w:val="24"/>
              </w:rPr>
            </w:pPr>
            <w:proofErr w:type="spellStart"/>
            <w:r w:rsidRPr="007C50D0">
              <w:rPr>
                <w:sz w:val="24"/>
                <w:szCs w:val="24"/>
              </w:rPr>
              <w:t>Альметьевский</w:t>
            </w:r>
            <w:proofErr w:type="spellEnd"/>
          </w:p>
        </w:tc>
        <w:tc>
          <w:tcPr>
            <w:tcW w:w="1984" w:type="dxa"/>
            <w:tcBorders>
              <w:top w:val="dotted" w:sz="4" w:space="0" w:color="auto"/>
              <w:bottom w:val="dotted"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63</w:t>
            </w:r>
          </w:p>
        </w:tc>
        <w:tc>
          <w:tcPr>
            <w:tcW w:w="2268" w:type="dxa"/>
            <w:tcBorders>
              <w:top w:val="dotted" w:sz="4" w:space="0" w:color="auto"/>
              <w:bottom w:val="dotted" w:sz="4" w:space="0" w:color="auto"/>
            </w:tcBorders>
            <w:shd w:val="clear" w:color="auto" w:fill="auto"/>
            <w:vAlign w:val="center"/>
          </w:tcPr>
          <w:p w:rsidR="007C50D0" w:rsidRPr="007C50D0" w:rsidRDefault="007C50D0" w:rsidP="0073408F">
            <w:pPr>
              <w:contextualSpacing/>
              <w:rPr>
                <w:sz w:val="24"/>
                <w:szCs w:val="24"/>
              </w:rPr>
            </w:pPr>
            <w:proofErr w:type="spellStart"/>
            <w:r w:rsidRPr="007C50D0">
              <w:rPr>
                <w:sz w:val="24"/>
                <w:szCs w:val="24"/>
              </w:rPr>
              <w:t>Чистопольский</w:t>
            </w:r>
            <w:proofErr w:type="spellEnd"/>
          </w:p>
        </w:tc>
        <w:tc>
          <w:tcPr>
            <w:tcW w:w="1942" w:type="dxa"/>
            <w:tcBorders>
              <w:top w:val="dotted"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63</w:t>
            </w:r>
          </w:p>
        </w:tc>
      </w:tr>
      <w:tr w:rsidR="007C50D0" w:rsidRPr="007C50D0" w:rsidTr="0073408F">
        <w:trPr>
          <w:trHeight w:val="254"/>
        </w:trPr>
        <w:tc>
          <w:tcPr>
            <w:tcW w:w="738" w:type="dxa"/>
            <w:tcBorders>
              <w:top w:val="dotted"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8</w:t>
            </w:r>
          </w:p>
        </w:tc>
        <w:tc>
          <w:tcPr>
            <w:tcW w:w="2261" w:type="dxa"/>
            <w:tcBorders>
              <w:top w:val="dotted" w:sz="4" w:space="0" w:color="auto"/>
              <w:left w:val="double" w:sz="4" w:space="0" w:color="auto"/>
              <w:bottom w:val="dotted" w:sz="4" w:space="0" w:color="auto"/>
            </w:tcBorders>
            <w:shd w:val="clear" w:color="auto" w:fill="auto"/>
            <w:vAlign w:val="center"/>
          </w:tcPr>
          <w:p w:rsidR="007C50D0" w:rsidRPr="007C50D0" w:rsidRDefault="007C50D0" w:rsidP="0073408F">
            <w:pPr>
              <w:contextualSpacing/>
              <w:rPr>
                <w:sz w:val="24"/>
                <w:szCs w:val="24"/>
              </w:rPr>
            </w:pPr>
            <w:proofErr w:type="spellStart"/>
            <w:r w:rsidRPr="007C50D0">
              <w:rPr>
                <w:sz w:val="24"/>
                <w:szCs w:val="24"/>
              </w:rPr>
              <w:t>Агрызский</w:t>
            </w:r>
            <w:proofErr w:type="spellEnd"/>
          </w:p>
        </w:tc>
        <w:tc>
          <w:tcPr>
            <w:tcW w:w="1984" w:type="dxa"/>
            <w:tcBorders>
              <w:top w:val="dotted" w:sz="4" w:space="0" w:color="auto"/>
              <w:bottom w:val="dotted"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48</w:t>
            </w:r>
          </w:p>
        </w:tc>
        <w:tc>
          <w:tcPr>
            <w:tcW w:w="2268" w:type="dxa"/>
            <w:tcBorders>
              <w:top w:val="dotted" w:sz="4" w:space="0" w:color="auto"/>
              <w:bottom w:val="dotted" w:sz="4" w:space="0" w:color="auto"/>
            </w:tcBorders>
            <w:shd w:val="clear" w:color="auto" w:fill="auto"/>
            <w:vAlign w:val="center"/>
          </w:tcPr>
          <w:p w:rsidR="007C50D0" w:rsidRPr="007C50D0" w:rsidRDefault="007C50D0" w:rsidP="0073408F">
            <w:pPr>
              <w:contextualSpacing/>
              <w:rPr>
                <w:sz w:val="24"/>
                <w:szCs w:val="24"/>
              </w:rPr>
            </w:pPr>
            <w:proofErr w:type="spellStart"/>
            <w:r w:rsidRPr="007C50D0">
              <w:rPr>
                <w:sz w:val="24"/>
                <w:szCs w:val="24"/>
              </w:rPr>
              <w:t>Зеленодольский</w:t>
            </w:r>
            <w:proofErr w:type="spellEnd"/>
          </w:p>
        </w:tc>
        <w:tc>
          <w:tcPr>
            <w:tcW w:w="1942" w:type="dxa"/>
            <w:tcBorders>
              <w:top w:val="dotted"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29</w:t>
            </w:r>
          </w:p>
        </w:tc>
      </w:tr>
      <w:tr w:rsidR="007C50D0" w:rsidRPr="007C50D0" w:rsidTr="0073408F">
        <w:trPr>
          <w:trHeight w:val="254"/>
        </w:trPr>
        <w:tc>
          <w:tcPr>
            <w:tcW w:w="738" w:type="dxa"/>
            <w:tcBorders>
              <w:top w:val="dotted"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9</w:t>
            </w:r>
          </w:p>
        </w:tc>
        <w:tc>
          <w:tcPr>
            <w:tcW w:w="2261" w:type="dxa"/>
            <w:tcBorders>
              <w:top w:val="dotted" w:sz="4" w:space="0" w:color="auto"/>
              <w:left w:val="double" w:sz="4" w:space="0" w:color="auto"/>
              <w:bottom w:val="dotted" w:sz="4" w:space="0" w:color="auto"/>
            </w:tcBorders>
            <w:shd w:val="clear" w:color="auto" w:fill="auto"/>
            <w:vAlign w:val="center"/>
          </w:tcPr>
          <w:p w:rsidR="007C50D0" w:rsidRPr="007C50D0" w:rsidRDefault="007C50D0" w:rsidP="0073408F">
            <w:pPr>
              <w:contextualSpacing/>
              <w:rPr>
                <w:sz w:val="24"/>
                <w:szCs w:val="24"/>
              </w:rPr>
            </w:pPr>
            <w:proofErr w:type="spellStart"/>
            <w:r w:rsidRPr="007C50D0">
              <w:rPr>
                <w:sz w:val="24"/>
                <w:szCs w:val="24"/>
              </w:rPr>
              <w:t>Зеленодольский</w:t>
            </w:r>
            <w:proofErr w:type="spellEnd"/>
          </w:p>
        </w:tc>
        <w:tc>
          <w:tcPr>
            <w:tcW w:w="1984" w:type="dxa"/>
            <w:tcBorders>
              <w:top w:val="dotted" w:sz="4" w:space="0" w:color="auto"/>
              <w:bottom w:val="dotted"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31</w:t>
            </w:r>
          </w:p>
        </w:tc>
        <w:tc>
          <w:tcPr>
            <w:tcW w:w="2268" w:type="dxa"/>
            <w:tcBorders>
              <w:top w:val="dotted" w:sz="4" w:space="0" w:color="auto"/>
              <w:bottom w:val="dotted" w:sz="4" w:space="0" w:color="auto"/>
            </w:tcBorders>
            <w:shd w:val="clear" w:color="auto" w:fill="auto"/>
            <w:vAlign w:val="center"/>
          </w:tcPr>
          <w:p w:rsidR="007C50D0" w:rsidRPr="007C50D0" w:rsidRDefault="007C50D0" w:rsidP="0073408F">
            <w:pPr>
              <w:contextualSpacing/>
              <w:rPr>
                <w:sz w:val="24"/>
                <w:szCs w:val="24"/>
              </w:rPr>
            </w:pPr>
            <w:r w:rsidRPr="007C50D0">
              <w:rPr>
                <w:sz w:val="24"/>
                <w:szCs w:val="24"/>
              </w:rPr>
              <w:t>Буинский</w:t>
            </w:r>
          </w:p>
        </w:tc>
        <w:tc>
          <w:tcPr>
            <w:tcW w:w="1942" w:type="dxa"/>
            <w:tcBorders>
              <w:top w:val="dotted"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19</w:t>
            </w:r>
          </w:p>
        </w:tc>
      </w:tr>
      <w:tr w:rsidR="007C50D0" w:rsidRPr="007C50D0" w:rsidTr="0073408F">
        <w:trPr>
          <w:trHeight w:val="254"/>
        </w:trPr>
        <w:tc>
          <w:tcPr>
            <w:tcW w:w="738" w:type="dxa"/>
            <w:tcBorders>
              <w:top w:val="dotted" w:sz="4" w:space="0" w:color="auto"/>
              <w:left w:val="double"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10</w:t>
            </w:r>
          </w:p>
        </w:tc>
        <w:tc>
          <w:tcPr>
            <w:tcW w:w="2261" w:type="dxa"/>
            <w:tcBorders>
              <w:top w:val="dotted" w:sz="4" w:space="0" w:color="auto"/>
              <w:left w:val="double" w:sz="4" w:space="0" w:color="auto"/>
              <w:bottom w:val="double" w:sz="4" w:space="0" w:color="auto"/>
            </w:tcBorders>
            <w:shd w:val="clear" w:color="auto" w:fill="auto"/>
            <w:vAlign w:val="center"/>
          </w:tcPr>
          <w:p w:rsidR="007C50D0" w:rsidRPr="007C50D0" w:rsidRDefault="007C50D0" w:rsidP="0073408F">
            <w:pPr>
              <w:contextualSpacing/>
              <w:rPr>
                <w:sz w:val="24"/>
                <w:szCs w:val="24"/>
              </w:rPr>
            </w:pPr>
            <w:r w:rsidRPr="007C50D0">
              <w:rPr>
                <w:sz w:val="24"/>
                <w:szCs w:val="24"/>
              </w:rPr>
              <w:t>Кировский</w:t>
            </w:r>
          </w:p>
        </w:tc>
        <w:tc>
          <w:tcPr>
            <w:tcW w:w="1984" w:type="dxa"/>
            <w:tcBorders>
              <w:top w:val="dotted" w:sz="4" w:space="0" w:color="auto"/>
              <w:bottom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18</w:t>
            </w:r>
          </w:p>
        </w:tc>
        <w:tc>
          <w:tcPr>
            <w:tcW w:w="2268" w:type="dxa"/>
            <w:tcBorders>
              <w:top w:val="dotted" w:sz="4" w:space="0" w:color="auto"/>
              <w:bottom w:val="double" w:sz="4" w:space="0" w:color="auto"/>
            </w:tcBorders>
            <w:shd w:val="clear" w:color="auto" w:fill="auto"/>
            <w:vAlign w:val="center"/>
          </w:tcPr>
          <w:p w:rsidR="007C50D0" w:rsidRPr="007C50D0" w:rsidRDefault="007C50D0" w:rsidP="0073408F">
            <w:pPr>
              <w:contextualSpacing/>
              <w:rPr>
                <w:sz w:val="24"/>
                <w:szCs w:val="24"/>
              </w:rPr>
            </w:pPr>
            <w:proofErr w:type="spellStart"/>
            <w:r w:rsidRPr="007C50D0">
              <w:rPr>
                <w:sz w:val="24"/>
                <w:szCs w:val="24"/>
              </w:rPr>
              <w:t>Агрызский</w:t>
            </w:r>
            <w:proofErr w:type="spellEnd"/>
          </w:p>
        </w:tc>
        <w:tc>
          <w:tcPr>
            <w:tcW w:w="1942" w:type="dxa"/>
            <w:tcBorders>
              <w:top w:val="dotted"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17</w:t>
            </w:r>
          </w:p>
        </w:tc>
      </w:tr>
    </w:tbl>
    <w:p w:rsidR="005954B9" w:rsidRDefault="005954B9" w:rsidP="008619A6">
      <w:pPr>
        <w:ind w:firstLine="900"/>
        <w:contextualSpacing/>
        <w:jc w:val="both"/>
        <w:rPr>
          <w:sz w:val="28"/>
          <w:szCs w:val="28"/>
        </w:rPr>
      </w:pPr>
    </w:p>
    <w:p w:rsidR="007C50D0" w:rsidRPr="007C50D0" w:rsidRDefault="007C50D0" w:rsidP="008619A6">
      <w:pPr>
        <w:ind w:firstLine="900"/>
        <w:contextualSpacing/>
        <w:jc w:val="both"/>
        <w:rPr>
          <w:sz w:val="28"/>
          <w:szCs w:val="28"/>
        </w:rPr>
      </w:pPr>
      <w:r w:rsidRPr="007C50D0">
        <w:rPr>
          <w:sz w:val="28"/>
          <w:szCs w:val="28"/>
        </w:rPr>
        <w:t>Удельный вес таких дел в группе составил 3,3%, что на 0,8% меньше значения данного показателя в 2016 году.</w:t>
      </w:r>
    </w:p>
    <w:p w:rsidR="007C50D0" w:rsidRPr="007C50D0" w:rsidRDefault="007C50D0" w:rsidP="008619A6">
      <w:pPr>
        <w:ind w:firstLine="900"/>
        <w:contextualSpacing/>
        <w:jc w:val="both"/>
        <w:rPr>
          <w:sz w:val="28"/>
          <w:szCs w:val="28"/>
        </w:rPr>
      </w:pPr>
      <w:r w:rsidRPr="007C50D0">
        <w:rPr>
          <w:sz w:val="28"/>
          <w:szCs w:val="28"/>
        </w:rPr>
        <w:t>В соответствии со статистическими данными процессуальный срок был нарушен также при приеме к производству 62 заявлений</w:t>
      </w:r>
      <w:r w:rsidRPr="007C50D0">
        <w:rPr>
          <w:color w:val="0000FF"/>
          <w:sz w:val="28"/>
          <w:szCs w:val="28"/>
        </w:rPr>
        <w:t xml:space="preserve">, </w:t>
      </w:r>
      <w:r w:rsidRPr="007C50D0">
        <w:rPr>
          <w:sz w:val="28"/>
          <w:szCs w:val="28"/>
        </w:rPr>
        <w:t>что в 2,8 раза меньше, чем в 2016 году.</w:t>
      </w:r>
    </w:p>
    <w:p w:rsidR="007C50D0" w:rsidRPr="007C50D0" w:rsidRDefault="007C50D0" w:rsidP="008619A6">
      <w:pPr>
        <w:ind w:firstLine="900"/>
        <w:contextualSpacing/>
        <w:jc w:val="both"/>
        <w:rPr>
          <w:sz w:val="28"/>
          <w:szCs w:val="28"/>
        </w:rPr>
      </w:pPr>
      <w:r w:rsidRPr="007C50D0">
        <w:rPr>
          <w:sz w:val="28"/>
          <w:szCs w:val="28"/>
        </w:rPr>
        <w:t>Районными (городскими) судами рассмотрено также 29476 материалов, связанных с исполнением решений и организацией гражданского судопроизводства. Это превышает значение показателя в 2016 году на 15,5%.</w:t>
      </w:r>
    </w:p>
    <w:p w:rsidR="005954B9" w:rsidRDefault="005954B9" w:rsidP="008619A6">
      <w:pPr>
        <w:ind w:firstLine="900"/>
        <w:contextualSpacing/>
        <w:jc w:val="both"/>
        <w:rPr>
          <w:b/>
          <w:sz w:val="28"/>
          <w:szCs w:val="28"/>
          <w:u w:val="single"/>
        </w:rPr>
      </w:pPr>
    </w:p>
    <w:p w:rsidR="007C50D0" w:rsidRPr="007C50D0" w:rsidRDefault="007C50D0" w:rsidP="008619A6">
      <w:pPr>
        <w:ind w:firstLine="900"/>
        <w:contextualSpacing/>
        <w:jc w:val="both"/>
        <w:rPr>
          <w:b/>
          <w:sz w:val="28"/>
          <w:szCs w:val="28"/>
          <w:u w:val="single"/>
        </w:rPr>
      </w:pPr>
      <w:r w:rsidRPr="007C50D0">
        <w:rPr>
          <w:b/>
          <w:sz w:val="28"/>
          <w:szCs w:val="28"/>
          <w:u w:val="single"/>
        </w:rPr>
        <w:t>Административное судопроизводство</w:t>
      </w:r>
    </w:p>
    <w:p w:rsidR="007C50D0" w:rsidRPr="007C50D0" w:rsidRDefault="007C50D0" w:rsidP="008619A6">
      <w:pPr>
        <w:ind w:firstLine="900"/>
        <w:contextualSpacing/>
        <w:jc w:val="both"/>
        <w:rPr>
          <w:sz w:val="28"/>
          <w:szCs w:val="28"/>
        </w:rPr>
      </w:pPr>
      <w:r w:rsidRPr="007C50D0">
        <w:rPr>
          <w:sz w:val="28"/>
          <w:szCs w:val="28"/>
        </w:rPr>
        <w:t>В связи с тем, что 15 сентября 2015 года вступил в силу Кодекс административного судопроизводства Российской Федерации, с 1 января 2016 года Судебным департаментом при Верховном Суде Российской Федерации внесены соответствующие изменения в регламентные формы статистической отчетности о деятельности судов. В частности, в форму о рассмотрении гражданских и административных дел введены разделы, отражающие результаты деятельности судов в административном судопроизводстве.</w:t>
      </w:r>
    </w:p>
    <w:p w:rsidR="007C50D0" w:rsidRPr="007C50D0" w:rsidRDefault="007C50D0" w:rsidP="008619A6">
      <w:pPr>
        <w:ind w:firstLine="900"/>
        <w:contextualSpacing/>
        <w:jc w:val="both"/>
        <w:rPr>
          <w:i/>
          <w:sz w:val="28"/>
          <w:szCs w:val="28"/>
        </w:rPr>
      </w:pPr>
      <w:r w:rsidRPr="007C50D0">
        <w:rPr>
          <w:sz w:val="28"/>
          <w:szCs w:val="28"/>
        </w:rPr>
        <w:t>В 2017 году районными (городскими) судами рассмотрено 10638 административных дел</w:t>
      </w:r>
      <w:r w:rsidRPr="007C50D0">
        <w:rPr>
          <w:sz w:val="28"/>
          <w:szCs w:val="28"/>
          <w:vertAlign w:val="superscript"/>
        </w:rPr>
        <w:footnoteReference w:id="1"/>
      </w:r>
      <w:r w:rsidRPr="007C50D0">
        <w:rPr>
          <w:sz w:val="28"/>
          <w:szCs w:val="28"/>
        </w:rPr>
        <w:t xml:space="preserve">. </w:t>
      </w:r>
    </w:p>
    <w:p w:rsidR="007C50D0" w:rsidRPr="007C50D0" w:rsidRDefault="007C50D0" w:rsidP="008619A6">
      <w:pPr>
        <w:ind w:firstLine="900"/>
        <w:contextualSpacing/>
        <w:jc w:val="both"/>
        <w:rPr>
          <w:sz w:val="28"/>
          <w:szCs w:val="28"/>
        </w:rPr>
      </w:pPr>
      <w:r w:rsidRPr="007C50D0">
        <w:rPr>
          <w:sz w:val="28"/>
          <w:szCs w:val="28"/>
        </w:rPr>
        <w:t>В общем количестве рассмотренных административных дел можно выделить три наиболее весомые группы.</w:t>
      </w:r>
    </w:p>
    <w:p w:rsidR="007C50D0" w:rsidRPr="007C50D0" w:rsidRDefault="007C50D0" w:rsidP="008619A6">
      <w:pPr>
        <w:ind w:firstLine="900"/>
        <w:contextualSpacing/>
        <w:jc w:val="both"/>
        <w:rPr>
          <w:sz w:val="28"/>
          <w:szCs w:val="28"/>
        </w:rPr>
      </w:pPr>
      <w:r w:rsidRPr="007C50D0">
        <w:rPr>
          <w:sz w:val="28"/>
          <w:szCs w:val="28"/>
        </w:rPr>
        <w:t xml:space="preserve">Дела об оспаривании решений, действий (бездействия) органов государственной власти, органов местного самоуправления, иных органов, организаций, наделенных отдельными государственными или иными </w:t>
      </w:r>
      <w:r w:rsidRPr="007C50D0">
        <w:rPr>
          <w:sz w:val="28"/>
          <w:szCs w:val="28"/>
        </w:rPr>
        <w:lastRenderedPageBreak/>
        <w:t xml:space="preserve">публичными полномочиями, должностных лиц, государственных и муниципальных служащих, органов и лиц, наделенных государственными или иными публичными полномочиями (глава 22 КАС РФ) – 5407 дел, или 50,8% в общей массе административных дел. </w:t>
      </w:r>
    </w:p>
    <w:p w:rsidR="007C50D0" w:rsidRPr="007C50D0" w:rsidRDefault="007C50D0" w:rsidP="008619A6">
      <w:pPr>
        <w:ind w:firstLine="900"/>
        <w:contextualSpacing/>
        <w:jc w:val="both"/>
        <w:rPr>
          <w:sz w:val="28"/>
          <w:szCs w:val="28"/>
        </w:rPr>
      </w:pPr>
      <w:r w:rsidRPr="007C50D0">
        <w:rPr>
          <w:sz w:val="28"/>
          <w:szCs w:val="28"/>
        </w:rPr>
        <w:t xml:space="preserve">Дела об административном надзоре за лицами, освобожденными из мест лишения свободы (глава 29 КАС РФ), – 2277 с удельным весом 21,4%. По сравнению с прошлым годом количество рассмотренных дел этой категории несколько уменьшилось (-2%), удельный вес дел данной категории в общем количестве рассмотренных административных  дел, напротив, вырос на 12,7%. </w:t>
      </w:r>
    </w:p>
    <w:p w:rsidR="007C50D0" w:rsidRPr="007C50D0" w:rsidRDefault="007C50D0" w:rsidP="008619A6">
      <w:pPr>
        <w:ind w:firstLine="900"/>
        <w:contextualSpacing/>
        <w:jc w:val="both"/>
        <w:rPr>
          <w:sz w:val="28"/>
          <w:szCs w:val="28"/>
        </w:rPr>
      </w:pPr>
      <w:r w:rsidRPr="007C50D0">
        <w:rPr>
          <w:sz w:val="28"/>
          <w:szCs w:val="28"/>
        </w:rPr>
        <w:t>И третья группа – дела о взыскании денежных сумм в счет уплаты установленных законом обязательных платежей и санкций с физических лиц  (глава 32 КАС РФ) – 1303 административных дела, что составляет 12,3% от общего количества рассмотренных дел.</w:t>
      </w:r>
    </w:p>
    <w:p w:rsidR="007C50D0" w:rsidRPr="007C50D0" w:rsidRDefault="007C50D0" w:rsidP="008619A6">
      <w:pPr>
        <w:ind w:firstLine="900"/>
        <w:contextualSpacing/>
        <w:jc w:val="both"/>
        <w:rPr>
          <w:sz w:val="28"/>
          <w:szCs w:val="28"/>
        </w:rPr>
      </w:pPr>
      <w:r w:rsidRPr="007C50D0">
        <w:rPr>
          <w:sz w:val="28"/>
          <w:szCs w:val="28"/>
        </w:rPr>
        <w:t>Также весомую группу составляют дела о госпитализации гражданина в недобровольном порядке в медицинскую организацию, оказывающую психиатрическую помощь в стационарных условиях, о продлении срока госпитализации гражданина в недобровольном порядке или о психиатрическом освидетельствовании гражданина – 657 дел (-9,8% по отношению к 2016 году), или 6,2% от общего количества.</w:t>
      </w:r>
    </w:p>
    <w:p w:rsidR="007C50D0" w:rsidRDefault="007C50D0" w:rsidP="008619A6">
      <w:pPr>
        <w:ind w:firstLine="900"/>
        <w:contextualSpacing/>
        <w:jc w:val="both"/>
        <w:rPr>
          <w:sz w:val="28"/>
          <w:szCs w:val="28"/>
        </w:rPr>
      </w:pPr>
      <w:r w:rsidRPr="00B8338D">
        <w:rPr>
          <w:sz w:val="28"/>
          <w:szCs w:val="28"/>
        </w:rPr>
        <w:t xml:space="preserve">На Диаграмме </w:t>
      </w:r>
      <w:r w:rsidR="006C7CE1" w:rsidRPr="00B8338D">
        <w:rPr>
          <w:sz w:val="28"/>
          <w:szCs w:val="28"/>
        </w:rPr>
        <w:t>16</w:t>
      </w:r>
      <w:r w:rsidRPr="00B8338D">
        <w:rPr>
          <w:sz w:val="28"/>
          <w:szCs w:val="28"/>
        </w:rPr>
        <w:t xml:space="preserve"> представлены категории административных дел, наиболее часто рассматриваемых судами республики в 2017 году.</w:t>
      </w:r>
    </w:p>
    <w:p w:rsidR="00B8338D" w:rsidRPr="00B8338D" w:rsidRDefault="00B8338D" w:rsidP="008619A6">
      <w:pPr>
        <w:ind w:firstLine="900"/>
        <w:contextualSpacing/>
        <w:jc w:val="both"/>
        <w:rPr>
          <w:sz w:val="28"/>
          <w:szCs w:val="28"/>
        </w:rPr>
      </w:pPr>
    </w:p>
    <w:p w:rsidR="007C50D0" w:rsidRPr="00B8338D" w:rsidRDefault="007C50D0" w:rsidP="008619A6">
      <w:pPr>
        <w:ind w:firstLine="851"/>
        <w:contextualSpacing/>
        <w:jc w:val="both"/>
        <w:rPr>
          <w:sz w:val="24"/>
          <w:szCs w:val="24"/>
        </w:rPr>
      </w:pPr>
      <w:r w:rsidRPr="00B8338D">
        <w:rPr>
          <w:sz w:val="28"/>
          <w:szCs w:val="28"/>
        </w:rPr>
        <w:t xml:space="preserve">                                                                                        </w:t>
      </w:r>
      <w:r w:rsidR="006C7CE1" w:rsidRPr="00B8338D">
        <w:rPr>
          <w:sz w:val="24"/>
          <w:szCs w:val="24"/>
        </w:rPr>
        <w:t>Д</w:t>
      </w:r>
      <w:r w:rsidRPr="00B8338D">
        <w:rPr>
          <w:sz w:val="24"/>
          <w:szCs w:val="24"/>
        </w:rPr>
        <w:t xml:space="preserve">иаграмма </w:t>
      </w:r>
      <w:r w:rsidR="006C7CE1" w:rsidRPr="00B8338D">
        <w:rPr>
          <w:sz w:val="24"/>
          <w:szCs w:val="24"/>
        </w:rPr>
        <w:t>1</w:t>
      </w:r>
      <w:r w:rsidRPr="00B8338D">
        <w:rPr>
          <w:sz w:val="24"/>
          <w:szCs w:val="24"/>
        </w:rPr>
        <w:t>6</w:t>
      </w:r>
    </w:p>
    <w:p w:rsidR="007C50D0" w:rsidRPr="007C50D0" w:rsidRDefault="007C50D0" w:rsidP="008619A6">
      <w:pPr>
        <w:ind w:firstLine="900"/>
        <w:contextualSpacing/>
        <w:jc w:val="both"/>
        <w:rPr>
          <w:sz w:val="28"/>
          <w:szCs w:val="28"/>
        </w:rPr>
      </w:pPr>
      <w:r>
        <w:rPr>
          <w:noProof/>
          <w:sz w:val="28"/>
          <w:szCs w:val="28"/>
        </w:rPr>
        <w:drawing>
          <wp:inline distT="0" distB="0" distL="0" distR="0" wp14:anchorId="2997011D" wp14:editId="21128E2D">
            <wp:extent cx="5041900" cy="301244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1900" cy="3012440"/>
                    </a:xfrm>
                    <a:prstGeom prst="rect">
                      <a:avLst/>
                    </a:prstGeom>
                    <a:noFill/>
                  </pic:spPr>
                </pic:pic>
              </a:graphicData>
            </a:graphic>
          </wp:inline>
        </w:drawing>
      </w:r>
    </w:p>
    <w:p w:rsidR="00B8338D" w:rsidRDefault="00B8338D" w:rsidP="008619A6">
      <w:pPr>
        <w:ind w:firstLine="900"/>
        <w:contextualSpacing/>
        <w:jc w:val="both"/>
        <w:rPr>
          <w:sz w:val="28"/>
          <w:szCs w:val="28"/>
        </w:rPr>
      </w:pPr>
    </w:p>
    <w:p w:rsidR="007C50D0" w:rsidRPr="007C50D0" w:rsidRDefault="007C50D0" w:rsidP="008619A6">
      <w:pPr>
        <w:ind w:firstLine="900"/>
        <w:contextualSpacing/>
        <w:jc w:val="both"/>
        <w:rPr>
          <w:sz w:val="28"/>
          <w:szCs w:val="28"/>
        </w:rPr>
      </w:pPr>
      <w:r w:rsidRPr="007C50D0">
        <w:rPr>
          <w:sz w:val="28"/>
          <w:szCs w:val="28"/>
        </w:rPr>
        <w:t xml:space="preserve">В общей сложности в 2017 году рассмотрено 10638 </w:t>
      </w:r>
      <w:r w:rsidRPr="00B8338D">
        <w:rPr>
          <w:sz w:val="28"/>
          <w:szCs w:val="28"/>
        </w:rPr>
        <w:t xml:space="preserve">административных дел. В Таблице </w:t>
      </w:r>
      <w:r w:rsidR="00B8338D" w:rsidRPr="00B8338D">
        <w:rPr>
          <w:sz w:val="28"/>
          <w:szCs w:val="28"/>
        </w:rPr>
        <w:t>24</w:t>
      </w:r>
      <w:r w:rsidRPr="00B8338D">
        <w:rPr>
          <w:sz w:val="28"/>
          <w:szCs w:val="28"/>
        </w:rPr>
        <w:t xml:space="preserve"> представлены категории дел, которые </w:t>
      </w:r>
      <w:r w:rsidRPr="007C50D0">
        <w:rPr>
          <w:sz w:val="28"/>
          <w:szCs w:val="28"/>
        </w:rPr>
        <w:t>наиболее часто рассматривались в рамках главы 25 ГПК РФ, а с 2015 года – по нормам КАС РФ.</w:t>
      </w:r>
    </w:p>
    <w:p w:rsidR="007C50D0" w:rsidRPr="007C50D0" w:rsidRDefault="007C50D0" w:rsidP="008619A6">
      <w:pPr>
        <w:ind w:firstLine="900"/>
        <w:contextualSpacing/>
        <w:jc w:val="both"/>
        <w:rPr>
          <w:sz w:val="28"/>
          <w:szCs w:val="28"/>
        </w:rPr>
      </w:pPr>
    </w:p>
    <w:p w:rsidR="007C50D0" w:rsidRPr="00B8338D" w:rsidRDefault="007C50D0" w:rsidP="008619A6">
      <w:pPr>
        <w:ind w:firstLine="900"/>
        <w:contextualSpacing/>
        <w:jc w:val="center"/>
        <w:rPr>
          <w:sz w:val="24"/>
          <w:szCs w:val="24"/>
        </w:rPr>
      </w:pPr>
      <w:r w:rsidRPr="00B8338D">
        <w:rPr>
          <w:sz w:val="24"/>
          <w:szCs w:val="24"/>
        </w:rPr>
        <w:lastRenderedPageBreak/>
        <w:t xml:space="preserve">                                                                                                        Таблица </w:t>
      </w:r>
      <w:r w:rsidR="006C7CE1" w:rsidRPr="00B8338D">
        <w:rPr>
          <w:sz w:val="24"/>
          <w:szCs w:val="24"/>
        </w:rPr>
        <w:t>24</w:t>
      </w:r>
    </w:p>
    <w:tbl>
      <w:tblPr>
        <w:tblW w:w="9214" w:type="dxa"/>
        <w:tblInd w:w="250" w:type="dxa"/>
        <w:tblLayout w:type="fixed"/>
        <w:tblLook w:val="04A0" w:firstRow="1" w:lastRow="0" w:firstColumn="1" w:lastColumn="0" w:noHBand="0" w:noVBand="1"/>
      </w:tblPr>
      <w:tblGrid>
        <w:gridCol w:w="827"/>
        <w:gridCol w:w="1441"/>
        <w:gridCol w:w="1843"/>
        <w:gridCol w:w="992"/>
        <w:gridCol w:w="2182"/>
        <w:gridCol w:w="1929"/>
      </w:tblGrid>
      <w:tr w:rsidR="007C50D0" w:rsidRPr="007C50D0" w:rsidTr="00B8338D">
        <w:trPr>
          <w:trHeight w:val="208"/>
        </w:trPr>
        <w:tc>
          <w:tcPr>
            <w:tcW w:w="9214" w:type="dxa"/>
            <w:gridSpan w:val="6"/>
            <w:tcBorders>
              <w:top w:val="double" w:sz="6" w:space="0" w:color="auto"/>
              <w:left w:val="double" w:sz="6" w:space="0" w:color="auto"/>
              <w:bottom w:val="single" w:sz="8" w:space="0" w:color="auto"/>
              <w:right w:val="double" w:sz="6" w:space="0" w:color="000000"/>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Сопоставимые показатели об основных категориях рассмотренных адм. дел</w:t>
            </w:r>
          </w:p>
        </w:tc>
      </w:tr>
      <w:tr w:rsidR="007C50D0" w:rsidRPr="007C50D0" w:rsidTr="00B8338D">
        <w:trPr>
          <w:trHeight w:val="2191"/>
        </w:trPr>
        <w:tc>
          <w:tcPr>
            <w:tcW w:w="827" w:type="dxa"/>
            <w:tcBorders>
              <w:top w:val="nil"/>
              <w:left w:val="double" w:sz="6" w:space="0" w:color="auto"/>
              <w:bottom w:val="double" w:sz="6" w:space="0" w:color="auto"/>
              <w:right w:val="double" w:sz="6" w:space="0" w:color="auto"/>
            </w:tcBorders>
            <w:shd w:val="clear" w:color="auto" w:fill="auto"/>
            <w:vAlign w:val="center"/>
            <w:hideMark/>
          </w:tcPr>
          <w:p w:rsidR="007C50D0" w:rsidRPr="007C50D0" w:rsidRDefault="007C50D0" w:rsidP="008619A6">
            <w:pPr>
              <w:contextualSpacing/>
              <w:jc w:val="center"/>
              <w:rPr>
                <w:sz w:val="24"/>
                <w:szCs w:val="24"/>
              </w:rPr>
            </w:pPr>
            <w:r w:rsidRPr="007C50D0">
              <w:rPr>
                <w:sz w:val="24"/>
                <w:szCs w:val="24"/>
              </w:rPr>
              <w:t> </w:t>
            </w:r>
          </w:p>
        </w:tc>
        <w:tc>
          <w:tcPr>
            <w:tcW w:w="1441"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Взыскание денежных сумм в счет уплаты обязательных платежей и санкций.</w:t>
            </w:r>
          </w:p>
        </w:tc>
        <w:tc>
          <w:tcPr>
            <w:tcW w:w="1843"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 xml:space="preserve">Оспаривание решений, действий (бездействия) гос., </w:t>
            </w:r>
            <w:proofErr w:type="spellStart"/>
            <w:r w:rsidRPr="007C50D0">
              <w:rPr>
                <w:b/>
                <w:bCs/>
                <w:sz w:val="24"/>
                <w:szCs w:val="24"/>
              </w:rPr>
              <w:t>муницип</w:t>
            </w:r>
            <w:proofErr w:type="spellEnd"/>
            <w:r w:rsidRPr="007C50D0">
              <w:rPr>
                <w:b/>
                <w:bCs/>
                <w:sz w:val="24"/>
                <w:szCs w:val="24"/>
              </w:rPr>
              <w:t xml:space="preserve">. органов власти, гос. и </w:t>
            </w:r>
            <w:proofErr w:type="spellStart"/>
            <w:r w:rsidRPr="007C50D0">
              <w:rPr>
                <w:b/>
                <w:bCs/>
                <w:sz w:val="24"/>
                <w:szCs w:val="24"/>
              </w:rPr>
              <w:t>муницип</w:t>
            </w:r>
            <w:proofErr w:type="spellEnd"/>
            <w:r w:rsidRPr="007C50D0">
              <w:rPr>
                <w:b/>
                <w:bCs/>
                <w:sz w:val="24"/>
                <w:szCs w:val="24"/>
              </w:rPr>
              <w:t>. служащих</w:t>
            </w:r>
          </w:p>
        </w:tc>
        <w:tc>
          <w:tcPr>
            <w:tcW w:w="992"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Административный надзор</w:t>
            </w:r>
          </w:p>
        </w:tc>
        <w:tc>
          <w:tcPr>
            <w:tcW w:w="2182"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Принудительная госпитализация в мед</w:t>
            </w:r>
            <w:proofErr w:type="gramStart"/>
            <w:r w:rsidRPr="007C50D0">
              <w:rPr>
                <w:b/>
                <w:bCs/>
                <w:sz w:val="24"/>
                <w:szCs w:val="24"/>
              </w:rPr>
              <w:t>.</w:t>
            </w:r>
            <w:proofErr w:type="gramEnd"/>
            <w:r w:rsidRPr="007C50D0">
              <w:rPr>
                <w:b/>
                <w:bCs/>
                <w:sz w:val="24"/>
                <w:szCs w:val="24"/>
              </w:rPr>
              <w:t xml:space="preserve"> </w:t>
            </w:r>
            <w:proofErr w:type="gramStart"/>
            <w:r w:rsidRPr="007C50D0">
              <w:rPr>
                <w:b/>
                <w:bCs/>
                <w:sz w:val="24"/>
                <w:szCs w:val="24"/>
              </w:rPr>
              <w:t>п</w:t>
            </w:r>
            <w:proofErr w:type="gramEnd"/>
            <w:r w:rsidRPr="007C50D0">
              <w:rPr>
                <w:b/>
                <w:bCs/>
                <w:sz w:val="24"/>
                <w:szCs w:val="24"/>
              </w:rPr>
              <w:t>сихиатр-</w:t>
            </w:r>
            <w:proofErr w:type="spellStart"/>
            <w:r w:rsidRPr="007C50D0">
              <w:rPr>
                <w:b/>
                <w:bCs/>
                <w:sz w:val="24"/>
                <w:szCs w:val="24"/>
              </w:rPr>
              <w:t>ую</w:t>
            </w:r>
            <w:proofErr w:type="spellEnd"/>
            <w:r w:rsidRPr="007C50D0">
              <w:rPr>
                <w:b/>
                <w:bCs/>
                <w:sz w:val="24"/>
                <w:szCs w:val="24"/>
              </w:rPr>
              <w:t xml:space="preserve"> организацию (продление госпитализации, освидетельствование)</w:t>
            </w:r>
          </w:p>
        </w:tc>
        <w:tc>
          <w:tcPr>
            <w:tcW w:w="1929" w:type="dxa"/>
            <w:tcBorders>
              <w:top w:val="nil"/>
              <w:left w:val="nil"/>
              <w:bottom w:val="double" w:sz="6" w:space="0" w:color="auto"/>
              <w:right w:val="double" w:sz="6"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Приостановление (прекращение) деятельности, ликвидация  организаций, объединений, партий, СМИ</w:t>
            </w:r>
          </w:p>
        </w:tc>
      </w:tr>
      <w:tr w:rsidR="007C50D0" w:rsidRPr="007C50D0" w:rsidTr="00B8338D">
        <w:trPr>
          <w:trHeight w:val="27"/>
        </w:trPr>
        <w:tc>
          <w:tcPr>
            <w:tcW w:w="827" w:type="dxa"/>
            <w:tcBorders>
              <w:top w:val="nil"/>
              <w:left w:val="double" w:sz="6" w:space="0" w:color="auto"/>
              <w:bottom w:val="dotted" w:sz="4" w:space="0" w:color="auto"/>
              <w:right w:val="double" w:sz="6" w:space="0" w:color="auto"/>
            </w:tcBorders>
            <w:shd w:val="clear" w:color="auto" w:fill="auto"/>
            <w:vAlign w:val="center"/>
            <w:hideMark/>
          </w:tcPr>
          <w:p w:rsidR="007C50D0" w:rsidRPr="007C50D0" w:rsidRDefault="007C50D0" w:rsidP="008619A6">
            <w:pPr>
              <w:contextualSpacing/>
              <w:jc w:val="center"/>
              <w:rPr>
                <w:b/>
                <w:bCs/>
                <w:sz w:val="24"/>
                <w:szCs w:val="24"/>
              </w:rPr>
            </w:pPr>
            <w:r w:rsidRPr="007C50D0">
              <w:rPr>
                <w:b/>
                <w:bCs/>
                <w:sz w:val="24"/>
                <w:szCs w:val="24"/>
              </w:rPr>
              <w:t>2013</w:t>
            </w:r>
          </w:p>
        </w:tc>
        <w:tc>
          <w:tcPr>
            <w:tcW w:w="1441"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w:t>
            </w:r>
          </w:p>
        </w:tc>
        <w:tc>
          <w:tcPr>
            <w:tcW w:w="1843"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3160</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1400</w:t>
            </w:r>
          </w:p>
        </w:tc>
        <w:tc>
          <w:tcPr>
            <w:tcW w:w="218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1099</w:t>
            </w:r>
          </w:p>
        </w:tc>
        <w:tc>
          <w:tcPr>
            <w:tcW w:w="1929" w:type="dxa"/>
            <w:tcBorders>
              <w:top w:val="nil"/>
              <w:left w:val="nil"/>
              <w:bottom w:val="dotted" w:sz="4" w:space="0" w:color="auto"/>
              <w:right w:val="double" w:sz="6" w:space="0" w:color="auto"/>
            </w:tcBorders>
            <w:shd w:val="clear" w:color="auto" w:fill="auto"/>
            <w:vAlign w:val="center"/>
            <w:hideMark/>
          </w:tcPr>
          <w:p w:rsidR="007C50D0" w:rsidRPr="007C50D0" w:rsidRDefault="007C50D0" w:rsidP="008619A6">
            <w:pPr>
              <w:contextualSpacing/>
              <w:jc w:val="center"/>
              <w:rPr>
                <w:i/>
                <w:iCs/>
                <w:sz w:val="24"/>
                <w:szCs w:val="24"/>
              </w:rPr>
            </w:pPr>
            <w:r w:rsidRPr="007C50D0">
              <w:rPr>
                <w:i/>
                <w:iCs/>
                <w:sz w:val="24"/>
                <w:szCs w:val="24"/>
              </w:rPr>
              <w:t>115</w:t>
            </w:r>
          </w:p>
        </w:tc>
      </w:tr>
      <w:tr w:rsidR="007C50D0" w:rsidRPr="007C50D0" w:rsidTr="00B8338D">
        <w:trPr>
          <w:trHeight w:val="62"/>
        </w:trPr>
        <w:tc>
          <w:tcPr>
            <w:tcW w:w="827" w:type="dxa"/>
            <w:tcBorders>
              <w:top w:val="nil"/>
              <w:left w:val="double" w:sz="6" w:space="0" w:color="auto"/>
              <w:bottom w:val="dotted" w:sz="4" w:space="0" w:color="auto"/>
              <w:right w:val="double" w:sz="6" w:space="0" w:color="auto"/>
            </w:tcBorders>
            <w:shd w:val="clear" w:color="auto" w:fill="auto"/>
            <w:vAlign w:val="center"/>
          </w:tcPr>
          <w:p w:rsidR="007C50D0" w:rsidRPr="007C50D0" w:rsidRDefault="007C50D0" w:rsidP="008619A6">
            <w:pPr>
              <w:contextualSpacing/>
              <w:jc w:val="center"/>
              <w:rPr>
                <w:b/>
                <w:bCs/>
                <w:sz w:val="24"/>
                <w:szCs w:val="24"/>
              </w:rPr>
            </w:pPr>
            <w:r w:rsidRPr="007C50D0">
              <w:rPr>
                <w:b/>
                <w:bCs/>
                <w:sz w:val="24"/>
                <w:szCs w:val="24"/>
              </w:rPr>
              <w:t>2014</w:t>
            </w:r>
          </w:p>
        </w:tc>
        <w:tc>
          <w:tcPr>
            <w:tcW w:w="1441" w:type="dxa"/>
            <w:tcBorders>
              <w:top w:val="nil"/>
              <w:left w:val="nil"/>
              <w:bottom w:val="dotted" w:sz="4"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w:t>
            </w:r>
          </w:p>
        </w:tc>
        <w:tc>
          <w:tcPr>
            <w:tcW w:w="1843" w:type="dxa"/>
            <w:tcBorders>
              <w:top w:val="nil"/>
              <w:left w:val="nil"/>
              <w:bottom w:val="dotted" w:sz="4"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3513</w:t>
            </w:r>
          </w:p>
        </w:tc>
        <w:tc>
          <w:tcPr>
            <w:tcW w:w="992" w:type="dxa"/>
            <w:tcBorders>
              <w:top w:val="nil"/>
              <w:left w:val="nil"/>
              <w:bottom w:val="dotted" w:sz="4"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1456</w:t>
            </w:r>
          </w:p>
        </w:tc>
        <w:tc>
          <w:tcPr>
            <w:tcW w:w="2182" w:type="dxa"/>
            <w:tcBorders>
              <w:top w:val="nil"/>
              <w:left w:val="nil"/>
              <w:bottom w:val="dotted" w:sz="4"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1148</w:t>
            </w:r>
          </w:p>
        </w:tc>
        <w:tc>
          <w:tcPr>
            <w:tcW w:w="1929" w:type="dxa"/>
            <w:tcBorders>
              <w:top w:val="nil"/>
              <w:left w:val="nil"/>
              <w:bottom w:val="dotted" w:sz="4" w:space="0" w:color="auto"/>
              <w:right w:val="double" w:sz="6"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96</w:t>
            </w:r>
          </w:p>
        </w:tc>
      </w:tr>
      <w:tr w:rsidR="007C50D0" w:rsidRPr="007C50D0" w:rsidTr="00B8338D">
        <w:trPr>
          <w:trHeight w:val="128"/>
        </w:trPr>
        <w:tc>
          <w:tcPr>
            <w:tcW w:w="827" w:type="dxa"/>
            <w:tcBorders>
              <w:top w:val="nil"/>
              <w:left w:val="double" w:sz="6" w:space="0" w:color="auto"/>
              <w:bottom w:val="dotted" w:sz="4" w:space="0" w:color="auto"/>
              <w:right w:val="double" w:sz="6" w:space="0" w:color="auto"/>
            </w:tcBorders>
            <w:shd w:val="clear" w:color="auto" w:fill="auto"/>
            <w:vAlign w:val="center"/>
          </w:tcPr>
          <w:p w:rsidR="007C50D0" w:rsidRPr="007C50D0" w:rsidRDefault="007C50D0" w:rsidP="008619A6">
            <w:pPr>
              <w:contextualSpacing/>
              <w:jc w:val="center"/>
              <w:rPr>
                <w:b/>
                <w:bCs/>
                <w:sz w:val="24"/>
                <w:szCs w:val="24"/>
              </w:rPr>
            </w:pPr>
            <w:r w:rsidRPr="007C50D0">
              <w:rPr>
                <w:b/>
                <w:bCs/>
                <w:sz w:val="24"/>
                <w:szCs w:val="24"/>
              </w:rPr>
              <w:t>2015</w:t>
            </w:r>
          </w:p>
        </w:tc>
        <w:tc>
          <w:tcPr>
            <w:tcW w:w="1441" w:type="dxa"/>
            <w:tcBorders>
              <w:top w:val="nil"/>
              <w:left w:val="nil"/>
              <w:bottom w:val="dotted" w:sz="4"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w:t>
            </w:r>
          </w:p>
        </w:tc>
        <w:tc>
          <w:tcPr>
            <w:tcW w:w="1843" w:type="dxa"/>
            <w:tcBorders>
              <w:top w:val="nil"/>
              <w:left w:val="nil"/>
              <w:bottom w:val="dotted" w:sz="4"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4364</w:t>
            </w:r>
          </w:p>
        </w:tc>
        <w:tc>
          <w:tcPr>
            <w:tcW w:w="992" w:type="dxa"/>
            <w:tcBorders>
              <w:top w:val="nil"/>
              <w:left w:val="nil"/>
              <w:bottom w:val="dotted" w:sz="4"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1595</w:t>
            </w:r>
          </w:p>
        </w:tc>
        <w:tc>
          <w:tcPr>
            <w:tcW w:w="2182" w:type="dxa"/>
            <w:tcBorders>
              <w:top w:val="nil"/>
              <w:left w:val="nil"/>
              <w:bottom w:val="dotted" w:sz="4"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849</w:t>
            </w:r>
          </w:p>
        </w:tc>
        <w:tc>
          <w:tcPr>
            <w:tcW w:w="1929" w:type="dxa"/>
            <w:tcBorders>
              <w:top w:val="nil"/>
              <w:left w:val="nil"/>
              <w:bottom w:val="dotted" w:sz="4" w:space="0" w:color="auto"/>
              <w:right w:val="double" w:sz="6"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79</w:t>
            </w:r>
          </w:p>
        </w:tc>
      </w:tr>
      <w:tr w:rsidR="007C50D0" w:rsidRPr="007C50D0" w:rsidTr="00B8338D">
        <w:trPr>
          <w:trHeight w:val="62"/>
        </w:trPr>
        <w:tc>
          <w:tcPr>
            <w:tcW w:w="827" w:type="dxa"/>
            <w:tcBorders>
              <w:top w:val="nil"/>
              <w:left w:val="double" w:sz="6" w:space="0" w:color="auto"/>
              <w:bottom w:val="dotted" w:sz="4" w:space="0" w:color="auto"/>
              <w:right w:val="double" w:sz="6" w:space="0" w:color="auto"/>
            </w:tcBorders>
            <w:shd w:val="clear" w:color="auto" w:fill="auto"/>
            <w:vAlign w:val="center"/>
          </w:tcPr>
          <w:p w:rsidR="007C50D0" w:rsidRPr="007C50D0" w:rsidRDefault="007C50D0" w:rsidP="008619A6">
            <w:pPr>
              <w:contextualSpacing/>
              <w:jc w:val="center"/>
              <w:rPr>
                <w:b/>
                <w:bCs/>
                <w:sz w:val="24"/>
                <w:szCs w:val="24"/>
              </w:rPr>
            </w:pPr>
            <w:r w:rsidRPr="007C50D0">
              <w:rPr>
                <w:b/>
                <w:bCs/>
                <w:sz w:val="24"/>
                <w:szCs w:val="24"/>
              </w:rPr>
              <w:t>2016</w:t>
            </w:r>
          </w:p>
        </w:tc>
        <w:tc>
          <w:tcPr>
            <w:tcW w:w="1441" w:type="dxa"/>
            <w:tcBorders>
              <w:top w:val="nil"/>
              <w:left w:val="nil"/>
              <w:bottom w:val="dotted" w:sz="4"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17953</w:t>
            </w:r>
          </w:p>
        </w:tc>
        <w:tc>
          <w:tcPr>
            <w:tcW w:w="1843" w:type="dxa"/>
            <w:tcBorders>
              <w:top w:val="nil"/>
              <w:left w:val="nil"/>
              <w:bottom w:val="dotted" w:sz="4"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3949</w:t>
            </w:r>
          </w:p>
        </w:tc>
        <w:tc>
          <w:tcPr>
            <w:tcW w:w="992" w:type="dxa"/>
            <w:tcBorders>
              <w:top w:val="nil"/>
              <w:left w:val="nil"/>
              <w:bottom w:val="dotted" w:sz="4"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2324</w:t>
            </w:r>
          </w:p>
        </w:tc>
        <w:tc>
          <w:tcPr>
            <w:tcW w:w="2182" w:type="dxa"/>
            <w:tcBorders>
              <w:top w:val="nil"/>
              <w:left w:val="nil"/>
              <w:bottom w:val="dotted" w:sz="4"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728</w:t>
            </w:r>
          </w:p>
        </w:tc>
        <w:tc>
          <w:tcPr>
            <w:tcW w:w="1929" w:type="dxa"/>
            <w:tcBorders>
              <w:top w:val="nil"/>
              <w:left w:val="nil"/>
              <w:bottom w:val="dotted" w:sz="4" w:space="0" w:color="auto"/>
              <w:right w:val="double" w:sz="6"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160</w:t>
            </w:r>
          </w:p>
        </w:tc>
      </w:tr>
      <w:tr w:rsidR="007C50D0" w:rsidRPr="007C50D0" w:rsidTr="00B8338D">
        <w:trPr>
          <w:trHeight w:val="62"/>
        </w:trPr>
        <w:tc>
          <w:tcPr>
            <w:tcW w:w="827" w:type="dxa"/>
            <w:tcBorders>
              <w:top w:val="dotted" w:sz="4" w:space="0" w:color="auto"/>
              <w:left w:val="double" w:sz="6" w:space="0" w:color="auto"/>
              <w:bottom w:val="double" w:sz="6" w:space="0" w:color="auto"/>
              <w:right w:val="double" w:sz="6" w:space="0" w:color="auto"/>
            </w:tcBorders>
            <w:shd w:val="clear" w:color="auto" w:fill="auto"/>
            <w:vAlign w:val="center"/>
          </w:tcPr>
          <w:p w:rsidR="007C50D0" w:rsidRPr="007C50D0" w:rsidRDefault="007C50D0" w:rsidP="008619A6">
            <w:pPr>
              <w:contextualSpacing/>
              <w:jc w:val="center"/>
              <w:rPr>
                <w:b/>
                <w:bCs/>
                <w:sz w:val="24"/>
                <w:szCs w:val="24"/>
              </w:rPr>
            </w:pPr>
            <w:r w:rsidRPr="007C50D0">
              <w:rPr>
                <w:b/>
                <w:bCs/>
                <w:sz w:val="24"/>
                <w:szCs w:val="24"/>
              </w:rPr>
              <w:t>2017</w:t>
            </w:r>
          </w:p>
        </w:tc>
        <w:tc>
          <w:tcPr>
            <w:tcW w:w="1441" w:type="dxa"/>
            <w:tcBorders>
              <w:top w:val="dotted" w:sz="4" w:space="0" w:color="auto"/>
              <w:left w:val="nil"/>
              <w:bottom w:val="double" w:sz="6"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1303</w:t>
            </w:r>
          </w:p>
        </w:tc>
        <w:tc>
          <w:tcPr>
            <w:tcW w:w="1843" w:type="dxa"/>
            <w:tcBorders>
              <w:top w:val="dotted" w:sz="4" w:space="0" w:color="auto"/>
              <w:left w:val="nil"/>
              <w:bottom w:val="double" w:sz="6"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5407</w:t>
            </w:r>
          </w:p>
        </w:tc>
        <w:tc>
          <w:tcPr>
            <w:tcW w:w="992" w:type="dxa"/>
            <w:tcBorders>
              <w:top w:val="dotted" w:sz="4" w:space="0" w:color="auto"/>
              <w:left w:val="nil"/>
              <w:bottom w:val="double" w:sz="6"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2277</w:t>
            </w:r>
          </w:p>
        </w:tc>
        <w:tc>
          <w:tcPr>
            <w:tcW w:w="2182" w:type="dxa"/>
            <w:tcBorders>
              <w:top w:val="dotted" w:sz="4" w:space="0" w:color="auto"/>
              <w:left w:val="nil"/>
              <w:bottom w:val="double" w:sz="6" w:space="0" w:color="auto"/>
              <w:right w:val="single" w:sz="8"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657</w:t>
            </w:r>
          </w:p>
        </w:tc>
        <w:tc>
          <w:tcPr>
            <w:tcW w:w="1929" w:type="dxa"/>
            <w:tcBorders>
              <w:top w:val="dotted" w:sz="4" w:space="0" w:color="auto"/>
              <w:left w:val="nil"/>
              <w:bottom w:val="double" w:sz="6" w:space="0" w:color="auto"/>
              <w:right w:val="double" w:sz="6" w:space="0" w:color="auto"/>
            </w:tcBorders>
            <w:shd w:val="clear" w:color="auto" w:fill="auto"/>
            <w:vAlign w:val="center"/>
          </w:tcPr>
          <w:p w:rsidR="007C50D0" w:rsidRPr="007C50D0" w:rsidRDefault="007C50D0" w:rsidP="008619A6">
            <w:pPr>
              <w:contextualSpacing/>
              <w:jc w:val="center"/>
              <w:rPr>
                <w:i/>
                <w:iCs/>
                <w:sz w:val="24"/>
                <w:szCs w:val="24"/>
              </w:rPr>
            </w:pPr>
            <w:r w:rsidRPr="007C50D0">
              <w:rPr>
                <w:i/>
                <w:iCs/>
                <w:sz w:val="24"/>
                <w:szCs w:val="24"/>
              </w:rPr>
              <w:t>235</w:t>
            </w:r>
          </w:p>
        </w:tc>
      </w:tr>
    </w:tbl>
    <w:p w:rsidR="007C50D0" w:rsidRPr="007C50D0" w:rsidRDefault="007C50D0" w:rsidP="008619A6">
      <w:pPr>
        <w:ind w:firstLine="900"/>
        <w:contextualSpacing/>
        <w:jc w:val="both"/>
        <w:rPr>
          <w:sz w:val="28"/>
          <w:szCs w:val="28"/>
        </w:rPr>
      </w:pPr>
      <w:r w:rsidRPr="007C50D0">
        <w:rPr>
          <w:sz w:val="28"/>
          <w:szCs w:val="28"/>
        </w:rPr>
        <w:t>До введения в действие КАС РФ данные по делам об оспаривании решений, действий (бездействия) органов государственной власти, органов местного самоуправления, иных органов, организаций, наделенных отдельными государственными или иными публичными полномочиями, должностных лиц, государственных и муниципальных служащих учитывались в специально выделенных показателях статистического наблюдения. Сравнительный анализ абсолютных величин показывает, что по отношению к прошлому отчетному периоду количество дел в этой группе увеличилось на 22,0%, и тренд данного показателя в рамках пятилетнего интервала наблюдения по-прежнему имеет вектор положительной направленности.</w:t>
      </w:r>
    </w:p>
    <w:p w:rsidR="007C50D0" w:rsidRDefault="007C50D0" w:rsidP="008619A6">
      <w:pPr>
        <w:contextualSpacing/>
        <w:jc w:val="both"/>
        <w:rPr>
          <w:sz w:val="24"/>
          <w:szCs w:val="24"/>
        </w:rPr>
      </w:pPr>
      <w:r w:rsidRPr="007C50D0">
        <w:rPr>
          <w:sz w:val="28"/>
          <w:szCs w:val="28"/>
        </w:rPr>
        <w:t xml:space="preserve">                                                                                         </w:t>
      </w:r>
      <w:r w:rsidRPr="007C50D0">
        <w:rPr>
          <w:sz w:val="24"/>
          <w:szCs w:val="24"/>
        </w:rPr>
        <w:t xml:space="preserve">Диаграмма </w:t>
      </w:r>
      <w:r w:rsidR="006C7CE1">
        <w:rPr>
          <w:sz w:val="24"/>
          <w:szCs w:val="24"/>
        </w:rPr>
        <w:t>1</w:t>
      </w:r>
      <w:r w:rsidRPr="007C50D0">
        <w:rPr>
          <w:sz w:val="24"/>
          <w:szCs w:val="24"/>
        </w:rPr>
        <w:t>7</w:t>
      </w:r>
    </w:p>
    <w:p w:rsidR="00B8338D" w:rsidRPr="007C50D0" w:rsidRDefault="00B8338D" w:rsidP="00B8338D">
      <w:pPr>
        <w:ind w:firstLine="567"/>
        <w:contextualSpacing/>
        <w:jc w:val="center"/>
        <w:rPr>
          <w:sz w:val="24"/>
          <w:szCs w:val="24"/>
        </w:rPr>
      </w:pPr>
      <w:r>
        <w:rPr>
          <w:noProof/>
        </w:rPr>
        <w:drawing>
          <wp:inline distT="0" distB="0" distL="0" distR="0" wp14:anchorId="375F26F6" wp14:editId="6DF78C1B">
            <wp:extent cx="4835610" cy="2512541"/>
            <wp:effectExtent l="0" t="0" r="3175" b="254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C50D0" w:rsidRPr="007C50D0" w:rsidRDefault="007C50D0" w:rsidP="008619A6">
      <w:pPr>
        <w:ind w:firstLine="851"/>
        <w:contextualSpacing/>
        <w:jc w:val="both"/>
        <w:rPr>
          <w:sz w:val="28"/>
          <w:szCs w:val="28"/>
        </w:rPr>
      </w:pPr>
      <w:r w:rsidRPr="007C50D0">
        <w:rPr>
          <w:sz w:val="28"/>
          <w:szCs w:val="28"/>
        </w:rPr>
        <w:t xml:space="preserve">Наибольшее количество дел в этой группе, как и в прошлых отчетных периодах, связано с жалобами на действия судебных приставов-исполнителей, их рассмотрено 2875. Статистические данные позволяют говорить об увеличении данной категории дел, как в абсолютном, так и в относительном исчислении в общем количестве рассмотренных административных дел (+ 34,5% и 4,4% соответственно). Удельный вес дел </w:t>
      </w:r>
      <w:r w:rsidRPr="007C50D0">
        <w:rPr>
          <w:sz w:val="28"/>
          <w:szCs w:val="28"/>
        </w:rPr>
        <w:lastRenderedPageBreak/>
        <w:t>этой категории среди дел об оспаривании действий органов государственной власти, местного самоуправления, органов, наделенных отдельными публичными и государственными полномочиями, а также должностных лиц, государственных и муниципальных служащих (глава 22 КАС РФ), составляет 53,2%. Динамика изменения указанных показателей представлена в Таблице 18.</w:t>
      </w:r>
    </w:p>
    <w:p w:rsidR="007C50D0" w:rsidRPr="007C50D0" w:rsidRDefault="007C50D0" w:rsidP="008619A6">
      <w:pPr>
        <w:ind w:firstLine="900"/>
        <w:contextualSpacing/>
        <w:jc w:val="center"/>
        <w:rPr>
          <w:sz w:val="24"/>
          <w:szCs w:val="24"/>
        </w:rPr>
      </w:pPr>
      <w:r w:rsidRPr="007C50D0">
        <w:rPr>
          <w:sz w:val="24"/>
          <w:szCs w:val="24"/>
        </w:rPr>
        <w:t xml:space="preserve">                                                                                              </w:t>
      </w:r>
      <w:r w:rsidR="00B8338D">
        <w:rPr>
          <w:sz w:val="24"/>
          <w:szCs w:val="24"/>
        </w:rPr>
        <w:t xml:space="preserve">  </w:t>
      </w:r>
      <w:r w:rsidRPr="007C50D0">
        <w:rPr>
          <w:sz w:val="24"/>
          <w:szCs w:val="24"/>
        </w:rPr>
        <w:t xml:space="preserve">          Таблица </w:t>
      </w:r>
      <w:r w:rsidR="006C7CE1">
        <w:rPr>
          <w:sz w:val="24"/>
          <w:szCs w:val="24"/>
        </w:rPr>
        <w:t>25</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969"/>
        <w:gridCol w:w="992"/>
        <w:gridCol w:w="992"/>
        <w:gridCol w:w="1016"/>
        <w:gridCol w:w="883"/>
      </w:tblGrid>
      <w:tr w:rsidR="007C50D0" w:rsidRPr="007C50D0" w:rsidTr="00B8338D">
        <w:trPr>
          <w:trHeight w:val="285"/>
        </w:trPr>
        <w:tc>
          <w:tcPr>
            <w:tcW w:w="9247" w:type="dxa"/>
            <w:gridSpan w:val="6"/>
            <w:tcBorders>
              <w:top w:val="double" w:sz="4" w:space="0" w:color="auto"/>
              <w:left w:val="double" w:sz="4" w:space="0" w:color="auto"/>
              <w:bottom w:val="single" w:sz="4" w:space="0" w:color="auto"/>
              <w:right w:val="doub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Динамика изменения количества жалоб на действия судебных приставов</w:t>
            </w:r>
          </w:p>
        </w:tc>
      </w:tr>
      <w:tr w:rsidR="007C50D0" w:rsidRPr="007C50D0" w:rsidTr="00B8338D">
        <w:trPr>
          <w:trHeight w:val="190"/>
        </w:trPr>
        <w:tc>
          <w:tcPr>
            <w:tcW w:w="4395" w:type="dxa"/>
            <w:tcBorders>
              <w:left w:val="double" w:sz="4" w:space="0" w:color="auto"/>
              <w:bottom w:val="thickThinLargeGap" w:sz="24" w:space="0" w:color="auto"/>
            </w:tcBorders>
            <w:shd w:val="clear" w:color="auto" w:fill="auto"/>
          </w:tcPr>
          <w:p w:rsidR="007C50D0" w:rsidRPr="007C50D0" w:rsidRDefault="007C50D0" w:rsidP="008619A6">
            <w:pPr>
              <w:contextualSpacing/>
              <w:jc w:val="center"/>
              <w:rPr>
                <w:b/>
                <w:sz w:val="24"/>
                <w:szCs w:val="24"/>
              </w:rPr>
            </w:pPr>
          </w:p>
        </w:tc>
        <w:tc>
          <w:tcPr>
            <w:tcW w:w="969" w:type="dxa"/>
            <w:tcBorders>
              <w:bottom w:val="thickThinLargeGap" w:sz="2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2013</w:t>
            </w:r>
          </w:p>
        </w:tc>
        <w:tc>
          <w:tcPr>
            <w:tcW w:w="992" w:type="dxa"/>
            <w:tcBorders>
              <w:bottom w:val="thickThinLargeGap" w:sz="2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2014</w:t>
            </w:r>
          </w:p>
        </w:tc>
        <w:tc>
          <w:tcPr>
            <w:tcW w:w="992" w:type="dxa"/>
            <w:tcBorders>
              <w:bottom w:val="thickThinLargeGap" w:sz="2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2015</w:t>
            </w:r>
          </w:p>
        </w:tc>
        <w:tc>
          <w:tcPr>
            <w:tcW w:w="1016" w:type="dxa"/>
            <w:tcBorders>
              <w:bottom w:val="thickThinLargeGap" w:sz="2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2016</w:t>
            </w:r>
          </w:p>
        </w:tc>
        <w:tc>
          <w:tcPr>
            <w:tcW w:w="883" w:type="dxa"/>
            <w:tcBorders>
              <w:bottom w:val="thickThinLargeGap" w:sz="24" w:space="0" w:color="auto"/>
              <w:right w:val="double" w:sz="4" w:space="0" w:color="auto"/>
            </w:tcBorders>
            <w:shd w:val="clear" w:color="auto" w:fill="auto"/>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B8338D">
        <w:trPr>
          <w:trHeight w:val="84"/>
        </w:trPr>
        <w:tc>
          <w:tcPr>
            <w:tcW w:w="4395" w:type="dxa"/>
            <w:tcBorders>
              <w:top w:val="thickThinLargeGap" w:sz="24" w:space="0" w:color="auto"/>
              <w:left w:val="double" w:sz="4" w:space="0" w:color="auto"/>
            </w:tcBorders>
            <w:vAlign w:val="center"/>
          </w:tcPr>
          <w:p w:rsidR="007C50D0" w:rsidRPr="007C50D0" w:rsidRDefault="007C50D0" w:rsidP="008619A6">
            <w:pPr>
              <w:contextualSpacing/>
              <w:jc w:val="center"/>
              <w:rPr>
                <w:b/>
                <w:sz w:val="24"/>
                <w:szCs w:val="24"/>
              </w:rPr>
            </w:pPr>
            <w:r w:rsidRPr="007C50D0">
              <w:rPr>
                <w:b/>
                <w:sz w:val="24"/>
                <w:szCs w:val="24"/>
              </w:rPr>
              <w:t>Количество рассмотренных жалоб</w:t>
            </w:r>
          </w:p>
        </w:tc>
        <w:tc>
          <w:tcPr>
            <w:tcW w:w="969" w:type="dxa"/>
            <w:tcBorders>
              <w:top w:val="thickThinLargeGap" w:sz="24" w:space="0" w:color="auto"/>
            </w:tcBorders>
            <w:vAlign w:val="center"/>
          </w:tcPr>
          <w:p w:rsidR="007C50D0" w:rsidRPr="007C50D0" w:rsidRDefault="007C50D0" w:rsidP="008619A6">
            <w:pPr>
              <w:contextualSpacing/>
              <w:jc w:val="center"/>
              <w:rPr>
                <w:i/>
                <w:sz w:val="24"/>
                <w:szCs w:val="24"/>
              </w:rPr>
            </w:pPr>
            <w:r w:rsidRPr="007C50D0">
              <w:rPr>
                <w:i/>
                <w:sz w:val="24"/>
                <w:szCs w:val="24"/>
              </w:rPr>
              <w:t>2130</w:t>
            </w:r>
          </w:p>
        </w:tc>
        <w:tc>
          <w:tcPr>
            <w:tcW w:w="992" w:type="dxa"/>
            <w:tcBorders>
              <w:top w:val="thickThinLargeGap" w:sz="24" w:space="0" w:color="auto"/>
            </w:tcBorders>
            <w:vAlign w:val="center"/>
          </w:tcPr>
          <w:p w:rsidR="007C50D0" w:rsidRPr="007C50D0" w:rsidRDefault="007C50D0" w:rsidP="008619A6">
            <w:pPr>
              <w:contextualSpacing/>
              <w:jc w:val="center"/>
              <w:rPr>
                <w:i/>
                <w:sz w:val="24"/>
                <w:szCs w:val="24"/>
              </w:rPr>
            </w:pPr>
            <w:r w:rsidRPr="007C50D0">
              <w:rPr>
                <w:i/>
                <w:sz w:val="24"/>
                <w:szCs w:val="24"/>
              </w:rPr>
              <w:t>2591</w:t>
            </w:r>
          </w:p>
        </w:tc>
        <w:tc>
          <w:tcPr>
            <w:tcW w:w="992" w:type="dxa"/>
            <w:tcBorders>
              <w:top w:val="thickThinLargeGap" w:sz="24" w:space="0" w:color="auto"/>
            </w:tcBorders>
            <w:vAlign w:val="center"/>
          </w:tcPr>
          <w:p w:rsidR="007C50D0" w:rsidRPr="007C50D0" w:rsidRDefault="007C50D0" w:rsidP="008619A6">
            <w:pPr>
              <w:contextualSpacing/>
              <w:jc w:val="center"/>
              <w:rPr>
                <w:i/>
                <w:sz w:val="24"/>
                <w:szCs w:val="24"/>
              </w:rPr>
            </w:pPr>
            <w:r w:rsidRPr="007C50D0">
              <w:rPr>
                <w:i/>
                <w:sz w:val="24"/>
                <w:szCs w:val="24"/>
              </w:rPr>
              <w:t>2508</w:t>
            </w:r>
          </w:p>
        </w:tc>
        <w:tc>
          <w:tcPr>
            <w:tcW w:w="1016" w:type="dxa"/>
            <w:tcBorders>
              <w:top w:val="thickThinLargeGap" w:sz="24" w:space="0" w:color="auto"/>
            </w:tcBorders>
            <w:vAlign w:val="center"/>
          </w:tcPr>
          <w:p w:rsidR="007C50D0" w:rsidRPr="007C50D0" w:rsidRDefault="007C50D0" w:rsidP="008619A6">
            <w:pPr>
              <w:contextualSpacing/>
              <w:jc w:val="center"/>
              <w:rPr>
                <w:i/>
                <w:sz w:val="24"/>
                <w:szCs w:val="24"/>
              </w:rPr>
            </w:pPr>
            <w:r w:rsidRPr="007C50D0">
              <w:rPr>
                <w:i/>
                <w:sz w:val="24"/>
                <w:szCs w:val="24"/>
              </w:rPr>
              <w:t>1885</w:t>
            </w:r>
          </w:p>
        </w:tc>
        <w:tc>
          <w:tcPr>
            <w:tcW w:w="883" w:type="dxa"/>
            <w:tcBorders>
              <w:top w:val="thickThinLargeGap" w:sz="24" w:space="0" w:color="auto"/>
              <w:right w:val="double" w:sz="4" w:space="0" w:color="auto"/>
            </w:tcBorders>
            <w:vAlign w:val="center"/>
          </w:tcPr>
          <w:p w:rsidR="007C50D0" w:rsidRPr="007C50D0" w:rsidRDefault="007C50D0" w:rsidP="008619A6">
            <w:pPr>
              <w:contextualSpacing/>
              <w:jc w:val="center"/>
              <w:rPr>
                <w:i/>
                <w:sz w:val="24"/>
                <w:szCs w:val="24"/>
              </w:rPr>
            </w:pPr>
            <w:r w:rsidRPr="007C50D0">
              <w:rPr>
                <w:i/>
                <w:sz w:val="24"/>
                <w:szCs w:val="24"/>
              </w:rPr>
              <w:t>2875</w:t>
            </w:r>
          </w:p>
        </w:tc>
      </w:tr>
      <w:tr w:rsidR="007C50D0" w:rsidRPr="007C50D0" w:rsidTr="00B8338D">
        <w:trPr>
          <w:trHeight w:val="85"/>
        </w:trPr>
        <w:tc>
          <w:tcPr>
            <w:tcW w:w="4395" w:type="dxa"/>
            <w:tcBorders>
              <w:top w:val="single" w:sz="4" w:space="0" w:color="auto"/>
              <w:left w:val="double" w:sz="4" w:space="0" w:color="auto"/>
              <w:bottom w:val="double" w:sz="4" w:space="0" w:color="auto"/>
            </w:tcBorders>
            <w:vAlign w:val="center"/>
          </w:tcPr>
          <w:p w:rsidR="007C50D0" w:rsidRPr="007C50D0" w:rsidRDefault="007C50D0" w:rsidP="008619A6">
            <w:pPr>
              <w:contextualSpacing/>
              <w:jc w:val="center"/>
              <w:rPr>
                <w:b/>
                <w:sz w:val="24"/>
                <w:szCs w:val="24"/>
              </w:rPr>
            </w:pPr>
            <w:r w:rsidRPr="007C50D0">
              <w:rPr>
                <w:b/>
                <w:sz w:val="24"/>
                <w:szCs w:val="24"/>
              </w:rPr>
              <w:t>Удельный вес (в гл. 22 КАС РФ)</w:t>
            </w:r>
          </w:p>
        </w:tc>
        <w:tc>
          <w:tcPr>
            <w:tcW w:w="969" w:type="dxa"/>
            <w:tcBorders>
              <w:top w:val="single" w:sz="4" w:space="0" w:color="auto"/>
              <w:bottom w:val="double" w:sz="4" w:space="0" w:color="auto"/>
            </w:tcBorders>
            <w:vAlign w:val="center"/>
          </w:tcPr>
          <w:p w:rsidR="007C50D0" w:rsidRPr="007C50D0" w:rsidRDefault="007C50D0" w:rsidP="008619A6">
            <w:pPr>
              <w:contextualSpacing/>
              <w:jc w:val="center"/>
              <w:rPr>
                <w:b/>
                <w:i/>
                <w:sz w:val="22"/>
                <w:szCs w:val="22"/>
              </w:rPr>
            </w:pPr>
            <w:r w:rsidRPr="007C50D0">
              <w:rPr>
                <w:b/>
                <w:i/>
                <w:sz w:val="22"/>
                <w:szCs w:val="22"/>
              </w:rPr>
              <w:t>67,4%</w:t>
            </w:r>
          </w:p>
        </w:tc>
        <w:tc>
          <w:tcPr>
            <w:tcW w:w="992" w:type="dxa"/>
            <w:tcBorders>
              <w:top w:val="single" w:sz="4" w:space="0" w:color="auto"/>
              <w:bottom w:val="double" w:sz="4" w:space="0" w:color="auto"/>
            </w:tcBorders>
            <w:vAlign w:val="center"/>
          </w:tcPr>
          <w:p w:rsidR="007C50D0" w:rsidRPr="007C50D0" w:rsidRDefault="007C50D0" w:rsidP="008619A6">
            <w:pPr>
              <w:contextualSpacing/>
              <w:jc w:val="center"/>
              <w:rPr>
                <w:b/>
                <w:i/>
                <w:sz w:val="22"/>
                <w:szCs w:val="22"/>
              </w:rPr>
            </w:pPr>
            <w:r w:rsidRPr="007C50D0">
              <w:rPr>
                <w:b/>
                <w:i/>
                <w:sz w:val="22"/>
                <w:szCs w:val="22"/>
              </w:rPr>
              <w:t>73,8%</w:t>
            </w:r>
          </w:p>
        </w:tc>
        <w:tc>
          <w:tcPr>
            <w:tcW w:w="992" w:type="dxa"/>
            <w:tcBorders>
              <w:top w:val="single" w:sz="4" w:space="0" w:color="auto"/>
              <w:bottom w:val="double" w:sz="4" w:space="0" w:color="auto"/>
            </w:tcBorders>
            <w:vAlign w:val="center"/>
          </w:tcPr>
          <w:p w:rsidR="007C50D0" w:rsidRPr="007C50D0" w:rsidRDefault="007C50D0" w:rsidP="008619A6">
            <w:pPr>
              <w:contextualSpacing/>
              <w:jc w:val="center"/>
              <w:rPr>
                <w:b/>
                <w:i/>
                <w:sz w:val="22"/>
                <w:szCs w:val="22"/>
              </w:rPr>
            </w:pPr>
            <w:r w:rsidRPr="007C50D0">
              <w:rPr>
                <w:b/>
                <w:i/>
                <w:sz w:val="22"/>
                <w:szCs w:val="22"/>
              </w:rPr>
              <w:t>57,5%</w:t>
            </w:r>
          </w:p>
        </w:tc>
        <w:tc>
          <w:tcPr>
            <w:tcW w:w="1016" w:type="dxa"/>
            <w:tcBorders>
              <w:top w:val="single" w:sz="4" w:space="0" w:color="auto"/>
              <w:bottom w:val="double" w:sz="4" w:space="0" w:color="auto"/>
            </w:tcBorders>
            <w:vAlign w:val="center"/>
          </w:tcPr>
          <w:p w:rsidR="007C50D0" w:rsidRPr="007C50D0" w:rsidRDefault="007C50D0" w:rsidP="008619A6">
            <w:pPr>
              <w:contextualSpacing/>
              <w:jc w:val="center"/>
              <w:rPr>
                <w:b/>
                <w:i/>
                <w:sz w:val="22"/>
                <w:szCs w:val="22"/>
              </w:rPr>
            </w:pPr>
            <w:r w:rsidRPr="007C50D0">
              <w:rPr>
                <w:b/>
                <w:i/>
                <w:sz w:val="22"/>
                <w:szCs w:val="22"/>
              </w:rPr>
              <w:t>42,5%</w:t>
            </w:r>
          </w:p>
        </w:tc>
        <w:tc>
          <w:tcPr>
            <w:tcW w:w="883" w:type="dxa"/>
            <w:tcBorders>
              <w:top w:val="single" w:sz="4" w:space="0" w:color="auto"/>
              <w:bottom w:val="double" w:sz="4" w:space="0" w:color="auto"/>
              <w:right w:val="double" w:sz="4" w:space="0" w:color="auto"/>
            </w:tcBorders>
            <w:vAlign w:val="center"/>
          </w:tcPr>
          <w:p w:rsidR="007C50D0" w:rsidRPr="007C50D0" w:rsidRDefault="007C50D0" w:rsidP="008619A6">
            <w:pPr>
              <w:contextualSpacing/>
              <w:jc w:val="center"/>
              <w:rPr>
                <w:b/>
                <w:i/>
                <w:sz w:val="22"/>
                <w:szCs w:val="22"/>
              </w:rPr>
            </w:pPr>
            <w:r w:rsidRPr="007C50D0">
              <w:rPr>
                <w:b/>
                <w:i/>
                <w:sz w:val="22"/>
                <w:szCs w:val="22"/>
              </w:rPr>
              <w:t>53,2%</w:t>
            </w:r>
          </w:p>
        </w:tc>
      </w:tr>
    </w:tbl>
    <w:p w:rsidR="007C50D0" w:rsidRPr="007C50D0" w:rsidRDefault="00B8338D" w:rsidP="008619A6">
      <w:pPr>
        <w:ind w:firstLine="900"/>
        <w:contextualSpacing/>
        <w:jc w:val="both"/>
        <w:rPr>
          <w:sz w:val="28"/>
          <w:szCs w:val="28"/>
        </w:rPr>
      </w:pPr>
      <w:r>
        <w:rPr>
          <w:sz w:val="28"/>
          <w:szCs w:val="28"/>
        </w:rPr>
        <w:t>Вместе с этим:</w:t>
      </w:r>
    </w:p>
    <w:p w:rsidR="007C50D0" w:rsidRPr="00B8338D" w:rsidRDefault="007C50D0" w:rsidP="00335DC8">
      <w:pPr>
        <w:pStyle w:val="ab"/>
        <w:numPr>
          <w:ilvl w:val="0"/>
          <w:numId w:val="14"/>
        </w:numPr>
        <w:ind w:left="567" w:hanging="425"/>
        <w:jc w:val="both"/>
        <w:rPr>
          <w:sz w:val="28"/>
          <w:szCs w:val="28"/>
        </w:rPr>
      </w:pPr>
      <w:r w:rsidRPr="00B8338D">
        <w:rPr>
          <w:sz w:val="28"/>
          <w:szCs w:val="28"/>
        </w:rPr>
        <w:t>20,4% жалоб связано с оспариванием решений, действий (бездействия) органов государственной власти, органов военного управления, а также государственных служащих (кроме судебных приставов-исполнителей). Это 1105 дел, что на 42,4% больше, чем в 2016 году</w:t>
      </w:r>
      <w:r w:rsidR="00B8338D" w:rsidRPr="00B8338D">
        <w:rPr>
          <w:sz w:val="28"/>
          <w:szCs w:val="28"/>
        </w:rPr>
        <w:t>.</w:t>
      </w:r>
    </w:p>
    <w:p w:rsidR="007C50D0" w:rsidRPr="00B8338D" w:rsidRDefault="007C50D0" w:rsidP="00335DC8">
      <w:pPr>
        <w:pStyle w:val="ab"/>
        <w:numPr>
          <w:ilvl w:val="0"/>
          <w:numId w:val="14"/>
        </w:numPr>
        <w:ind w:left="567" w:hanging="425"/>
        <w:jc w:val="both"/>
        <w:rPr>
          <w:sz w:val="28"/>
          <w:szCs w:val="28"/>
        </w:rPr>
      </w:pPr>
      <w:r w:rsidRPr="00B8338D">
        <w:rPr>
          <w:sz w:val="28"/>
          <w:szCs w:val="28"/>
        </w:rPr>
        <w:t xml:space="preserve">13,1% (меньше на 9,6%, чем в 2016 году) жалоб в данной группе связано с оспариванием решений, действий (бездействия) органов местного самоуправления и муниципальных служащих. Количество таких дел в 2017 году уменьшилось по сравнению с 2016 годом на 29,9% и составило 707 дел. </w:t>
      </w:r>
    </w:p>
    <w:p w:rsidR="007C50D0" w:rsidRPr="00B8338D" w:rsidRDefault="007C50D0" w:rsidP="00335DC8">
      <w:pPr>
        <w:pStyle w:val="ab"/>
        <w:numPr>
          <w:ilvl w:val="0"/>
          <w:numId w:val="14"/>
        </w:numPr>
        <w:ind w:left="567" w:hanging="425"/>
        <w:jc w:val="both"/>
        <w:rPr>
          <w:sz w:val="28"/>
          <w:szCs w:val="28"/>
        </w:rPr>
      </w:pPr>
      <w:r w:rsidRPr="00B8338D">
        <w:rPr>
          <w:sz w:val="28"/>
          <w:szCs w:val="28"/>
        </w:rPr>
        <w:t>9,2% жалоб связано с оспариванием решений, действий (бездействия) органов, наделенных отдельными государственными или иными публичными полномочиями и служащих этих органов, что соответствует уровню прошлого года.</w:t>
      </w:r>
    </w:p>
    <w:p w:rsidR="007C50D0" w:rsidRPr="007C50D0" w:rsidRDefault="007C50D0" w:rsidP="008619A6">
      <w:pPr>
        <w:ind w:firstLine="900"/>
        <w:contextualSpacing/>
        <w:jc w:val="both"/>
        <w:rPr>
          <w:sz w:val="28"/>
          <w:szCs w:val="28"/>
        </w:rPr>
      </w:pPr>
      <w:r w:rsidRPr="007C50D0">
        <w:rPr>
          <w:sz w:val="28"/>
          <w:szCs w:val="28"/>
        </w:rPr>
        <w:t>Чаще всего рассматривались дела по жалобам на решения, действие (бездействие) органов государственной власти, органов местного самоуправления, государственных и муниципальных служащих в следующих сферах:</w:t>
      </w:r>
    </w:p>
    <w:p w:rsidR="007C50D0" w:rsidRPr="000123D7" w:rsidRDefault="007C50D0" w:rsidP="00335DC8">
      <w:pPr>
        <w:pStyle w:val="ab"/>
        <w:numPr>
          <w:ilvl w:val="0"/>
          <w:numId w:val="15"/>
        </w:numPr>
        <w:ind w:left="567" w:hanging="425"/>
        <w:jc w:val="both"/>
        <w:rPr>
          <w:sz w:val="28"/>
          <w:szCs w:val="28"/>
        </w:rPr>
      </w:pPr>
      <w:r w:rsidRPr="000123D7">
        <w:rPr>
          <w:sz w:val="28"/>
          <w:szCs w:val="28"/>
        </w:rPr>
        <w:t>кадастрового учета и регистрации прав на недвижимое имущество – 298 дел (5,5%);</w:t>
      </w:r>
    </w:p>
    <w:p w:rsidR="007C50D0" w:rsidRPr="000123D7" w:rsidRDefault="007C50D0" w:rsidP="00335DC8">
      <w:pPr>
        <w:pStyle w:val="ab"/>
        <w:numPr>
          <w:ilvl w:val="0"/>
          <w:numId w:val="15"/>
        </w:numPr>
        <w:ind w:left="567" w:hanging="425"/>
        <w:jc w:val="both"/>
        <w:rPr>
          <w:sz w:val="28"/>
          <w:szCs w:val="28"/>
        </w:rPr>
      </w:pPr>
      <w:r w:rsidRPr="000123D7">
        <w:rPr>
          <w:sz w:val="28"/>
          <w:szCs w:val="28"/>
        </w:rPr>
        <w:t>градостроительных отношений – 119 дел (2,2%);</w:t>
      </w:r>
    </w:p>
    <w:p w:rsidR="007C50D0" w:rsidRPr="000123D7" w:rsidRDefault="007C50D0" w:rsidP="00335DC8">
      <w:pPr>
        <w:pStyle w:val="ab"/>
        <w:numPr>
          <w:ilvl w:val="0"/>
          <w:numId w:val="15"/>
        </w:numPr>
        <w:ind w:left="567" w:hanging="425"/>
        <w:jc w:val="both"/>
        <w:rPr>
          <w:sz w:val="28"/>
          <w:szCs w:val="28"/>
        </w:rPr>
      </w:pPr>
      <w:r w:rsidRPr="000123D7">
        <w:rPr>
          <w:sz w:val="28"/>
          <w:szCs w:val="28"/>
        </w:rPr>
        <w:t>налоговых и таможенных отношений – 72 дела (1,3%).</w:t>
      </w:r>
    </w:p>
    <w:p w:rsidR="007C50D0" w:rsidRPr="007C50D0" w:rsidRDefault="007C50D0" w:rsidP="008619A6">
      <w:pPr>
        <w:ind w:firstLine="840"/>
        <w:contextualSpacing/>
        <w:jc w:val="both"/>
        <w:rPr>
          <w:sz w:val="28"/>
          <w:szCs w:val="28"/>
        </w:rPr>
      </w:pPr>
      <w:r w:rsidRPr="007C50D0">
        <w:rPr>
          <w:sz w:val="28"/>
          <w:szCs w:val="28"/>
          <w:u w:val="single"/>
        </w:rPr>
        <w:t>Результаты рассмотрения административных дел</w:t>
      </w:r>
      <w:r w:rsidRPr="007C50D0">
        <w:rPr>
          <w:sz w:val="28"/>
          <w:szCs w:val="28"/>
        </w:rPr>
        <w:t xml:space="preserve"> характеризуются следующими показателями.</w:t>
      </w:r>
    </w:p>
    <w:p w:rsidR="007C50D0" w:rsidRPr="007C50D0" w:rsidRDefault="007C50D0" w:rsidP="008619A6">
      <w:pPr>
        <w:ind w:firstLine="840"/>
        <w:contextualSpacing/>
        <w:jc w:val="both"/>
        <w:rPr>
          <w:sz w:val="28"/>
          <w:szCs w:val="28"/>
        </w:rPr>
      </w:pPr>
      <w:r w:rsidRPr="007C50D0">
        <w:rPr>
          <w:sz w:val="28"/>
          <w:szCs w:val="28"/>
        </w:rPr>
        <w:t>Наибольшая часть дел – 58,3% – рассмотрена с удовлетворением заявленного требования – 6200 дел. Однако на фоне общего уменьшения административных дел наблюдается значительное снижение (-14,8%) удельного веса дел с положительным результатом рассмотрения по сравнению с данными 2016 года.</w:t>
      </w:r>
    </w:p>
    <w:p w:rsidR="007C50D0" w:rsidRPr="007C50D0" w:rsidRDefault="007C50D0" w:rsidP="008619A6">
      <w:pPr>
        <w:ind w:firstLine="840"/>
        <w:contextualSpacing/>
        <w:jc w:val="both"/>
        <w:rPr>
          <w:sz w:val="28"/>
          <w:szCs w:val="28"/>
        </w:rPr>
      </w:pPr>
      <w:r w:rsidRPr="007C50D0">
        <w:rPr>
          <w:sz w:val="28"/>
          <w:szCs w:val="28"/>
        </w:rPr>
        <w:t xml:space="preserve">При этом наибольшее количество удовлетворенных административных исков, как и в прошлом году, приходится на дела, связанные с госпитализацией гражданина в медицинскую организацию, оказывающую психиатрическую помощь (глава 30 КАС РФ) – 94,7%. </w:t>
      </w:r>
    </w:p>
    <w:p w:rsidR="007C50D0" w:rsidRPr="007C50D0" w:rsidRDefault="007C50D0" w:rsidP="008619A6">
      <w:pPr>
        <w:ind w:firstLine="840"/>
        <w:contextualSpacing/>
        <w:jc w:val="both"/>
        <w:rPr>
          <w:sz w:val="28"/>
          <w:szCs w:val="28"/>
        </w:rPr>
      </w:pPr>
      <w:r w:rsidRPr="007C50D0">
        <w:rPr>
          <w:sz w:val="28"/>
          <w:szCs w:val="28"/>
        </w:rPr>
        <w:lastRenderedPageBreak/>
        <w:t xml:space="preserve">Так же велик удельный вес удовлетворенных заявлений об административном надзоре – 91,9%. </w:t>
      </w:r>
    </w:p>
    <w:p w:rsidR="007C50D0" w:rsidRPr="007C50D0" w:rsidRDefault="007C50D0" w:rsidP="008619A6">
      <w:pPr>
        <w:ind w:firstLine="840"/>
        <w:contextualSpacing/>
        <w:jc w:val="both"/>
        <w:rPr>
          <w:sz w:val="28"/>
          <w:szCs w:val="28"/>
        </w:rPr>
      </w:pPr>
      <w:r w:rsidRPr="007C50D0">
        <w:rPr>
          <w:sz w:val="28"/>
          <w:szCs w:val="28"/>
        </w:rPr>
        <w:t xml:space="preserve">Доля дел о взыскании денежных сумм в счет уплаты обязательных платежей и санкций, завершившихся удовлетворением, составила 51,2%, что на 29,6% меньше, чем в 2016 году. </w:t>
      </w:r>
    </w:p>
    <w:p w:rsidR="007C50D0" w:rsidRPr="007C50D0" w:rsidRDefault="007C50D0" w:rsidP="008619A6">
      <w:pPr>
        <w:ind w:firstLine="840"/>
        <w:contextualSpacing/>
        <w:jc w:val="both"/>
        <w:rPr>
          <w:sz w:val="28"/>
          <w:szCs w:val="28"/>
        </w:rPr>
      </w:pPr>
      <w:r w:rsidRPr="007C50D0">
        <w:rPr>
          <w:sz w:val="28"/>
          <w:szCs w:val="28"/>
        </w:rPr>
        <w:t xml:space="preserve">Из 5407 административных дел, рассмотренных в порядке главы 22 КАС РФ, удовлетворено 37,1% обращений. </w:t>
      </w:r>
    </w:p>
    <w:p w:rsidR="007C50D0" w:rsidRPr="007C50D0" w:rsidRDefault="007C50D0" w:rsidP="008619A6">
      <w:pPr>
        <w:ind w:firstLine="840"/>
        <w:contextualSpacing/>
        <w:jc w:val="both"/>
        <w:rPr>
          <w:sz w:val="28"/>
          <w:szCs w:val="28"/>
        </w:rPr>
      </w:pPr>
      <w:r w:rsidRPr="007C50D0">
        <w:rPr>
          <w:sz w:val="28"/>
          <w:szCs w:val="28"/>
        </w:rPr>
        <w:t xml:space="preserve">                                                                                          </w:t>
      </w:r>
      <w:r w:rsidRPr="007C50D0">
        <w:rPr>
          <w:sz w:val="24"/>
          <w:szCs w:val="24"/>
        </w:rPr>
        <w:t xml:space="preserve">Таблица </w:t>
      </w:r>
      <w:r w:rsidR="006C7CE1">
        <w:rPr>
          <w:sz w:val="24"/>
          <w:szCs w:val="24"/>
        </w:rPr>
        <w:t>26</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8"/>
        <w:gridCol w:w="969"/>
        <w:gridCol w:w="992"/>
        <w:gridCol w:w="992"/>
        <w:gridCol w:w="851"/>
        <w:gridCol w:w="850"/>
      </w:tblGrid>
      <w:tr w:rsidR="007C50D0" w:rsidRPr="007C50D0" w:rsidTr="000123D7">
        <w:trPr>
          <w:trHeight w:val="295"/>
        </w:trPr>
        <w:tc>
          <w:tcPr>
            <w:tcW w:w="9072" w:type="dxa"/>
            <w:gridSpan w:val="6"/>
            <w:tcBorders>
              <w:top w:val="doub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Динамика изменения удельного веса дел, рассмотренных с удовлетворением заявленного требования (</w:t>
            </w:r>
            <w:proofErr w:type="gramStart"/>
            <w:r w:rsidRPr="007C50D0">
              <w:rPr>
                <w:b/>
                <w:sz w:val="24"/>
                <w:szCs w:val="24"/>
              </w:rPr>
              <w:t>в</w:t>
            </w:r>
            <w:proofErr w:type="gramEnd"/>
            <w:r w:rsidRPr="007C50D0">
              <w:rPr>
                <w:b/>
                <w:sz w:val="24"/>
                <w:szCs w:val="24"/>
              </w:rPr>
              <w:t xml:space="preserve"> %)</w:t>
            </w:r>
          </w:p>
        </w:tc>
      </w:tr>
      <w:tr w:rsidR="007C50D0" w:rsidRPr="007C50D0" w:rsidTr="000123D7">
        <w:trPr>
          <w:trHeight w:val="284"/>
        </w:trPr>
        <w:tc>
          <w:tcPr>
            <w:tcW w:w="4418" w:type="dxa"/>
            <w:tcBorders>
              <w:left w:val="doub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p>
        </w:tc>
        <w:tc>
          <w:tcPr>
            <w:tcW w:w="969"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992"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992"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851"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850" w:type="dxa"/>
            <w:tcBorders>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0123D7">
        <w:trPr>
          <w:trHeight w:val="397"/>
        </w:trPr>
        <w:tc>
          <w:tcPr>
            <w:tcW w:w="4418" w:type="dxa"/>
            <w:tcBorders>
              <w:top w:val="thickThinLargeGap" w:sz="24" w:space="0" w:color="auto"/>
              <w:left w:val="double" w:sz="4" w:space="0" w:color="auto"/>
            </w:tcBorders>
            <w:vAlign w:val="center"/>
          </w:tcPr>
          <w:p w:rsidR="007C50D0" w:rsidRPr="007C50D0" w:rsidRDefault="007C50D0" w:rsidP="008619A6">
            <w:pPr>
              <w:contextualSpacing/>
              <w:jc w:val="center"/>
              <w:rPr>
                <w:b/>
                <w:sz w:val="24"/>
                <w:szCs w:val="24"/>
              </w:rPr>
            </w:pPr>
            <w:r w:rsidRPr="007C50D0">
              <w:rPr>
                <w:b/>
                <w:sz w:val="24"/>
                <w:szCs w:val="24"/>
              </w:rPr>
              <w:t>Жалобы на действия судебных приставов</w:t>
            </w:r>
          </w:p>
        </w:tc>
        <w:tc>
          <w:tcPr>
            <w:tcW w:w="969" w:type="dxa"/>
            <w:tcBorders>
              <w:top w:val="thickThinLargeGap" w:sz="24" w:space="0" w:color="auto"/>
            </w:tcBorders>
            <w:vAlign w:val="center"/>
          </w:tcPr>
          <w:p w:rsidR="007C50D0" w:rsidRPr="007C50D0" w:rsidRDefault="007C50D0" w:rsidP="008619A6">
            <w:pPr>
              <w:contextualSpacing/>
              <w:jc w:val="center"/>
              <w:rPr>
                <w:rFonts w:ascii="Arial CYR" w:hAnsi="Arial CYR" w:cs="Arial CYR"/>
                <w:bCs/>
              </w:rPr>
            </w:pPr>
            <w:r w:rsidRPr="007C50D0">
              <w:rPr>
                <w:rFonts w:ascii="Arial CYR" w:hAnsi="Arial CYR" w:cs="Arial CYR"/>
                <w:bCs/>
              </w:rPr>
              <w:t>30,1</w:t>
            </w:r>
          </w:p>
        </w:tc>
        <w:tc>
          <w:tcPr>
            <w:tcW w:w="992" w:type="dxa"/>
            <w:tcBorders>
              <w:top w:val="thickThinLargeGap" w:sz="24" w:space="0" w:color="auto"/>
            </w:tcBorders>
            <w:vAlign w:val="center"/>
          </w:tcPr>
          <w:p w:rsidR="007C50D0" w:rsidRPr="007C50D0" w:rsidRDefault="007C50D0" w:rsidP="008619A6">
            <w:pPr>
              <w:contextualSpacing/>
              <w:jc w:val="center"/>
              <w:rPr>
                <w:rFonts w:ascii="Arial CYR" w:hAnsi="Arial CYR" w:cs="Arial CYR"/>
                <w:bCs/>
              </w:rPr>
            </w:pPr>
            <w:r w:rsidRPr="007C50D0">
              <w:rPr>
                <w:rFonts w:ascii="Arial CYR" w:hAnsi="Arial CYR" w:cs="Arial CYR"/>
                <w:bCs/>
              </w:rPr>
              <w:t>22,8</w:t>
            </w:r>
          </w:p>
        </w:tc>
        <w:tc>
          <w:tcPr>
            <w:tcW w:w="992" w:type="dxa"/>
            <w:tcBorders>
              <w:top w:val="thickThinLargeGap" w:sz="24" w:space="0" w:color="auto"/>
            </w:tcBorders>
            <w:vAlign w:val="center"/>
          </w:tcPr>
          <w:p w:rsidR="007C50D0" w:rsidRPr="007C50D0" w:rsidRDefault="007C50D0" w:rsidP="008619A6">
            <w:pPr>
              <w:contextualSpacing/>
              <w:jc w:val="center"/>
              <w:rPr>
                <w:rFonts w:ascii="Arial CYR" w:hAnsi="Arial CYR" w:cs="Arial CYR"/>
                <w:bCs/>
              </w:rPr>
            </w:pPr>
            <w:r w:rsidRPr="007C50D0">
              <w:rPr>
                <w:rFonts w:ascii="Arial CYR" w:hAnsi="Arial CYR" w:cs="Arial CYR"/>
                <w:bCs/>
              </w:rPr>
              <w:t>24,3</w:t>
            </w:r>
          </w:p>
        </w:tc>
        <w:tc>
          <w:tcPr>
            <w:tcW w:w="851" w:type="dxa"/>
            <w:tcBorders>
              <w:top w:val="thickThinLargeGap" w:sz="24" w:space="0" w:color="auto"/>
            </w:tcBorders>
            <w:vAlign w:val="center"/>
          </w:tcPr>
          <w:p w:rsidR="007C50D0" w:rsidRPr="007C50D0" w:rsidRDefault="007C50D0" w:rsidP="008619A6">
            <w:pPr>
              <w:contextualSpacing/>
              <w:jc w:val="center"/>
              <w:rPr>
                <w:rFonts w:ascii="Arial CYR" w:hAnsi="Arial CYR" w:cs="Arial CYR"/>
                <w:bCs/>
              </w:rPr>
            </w:pPr>
            <w:r w:rsidRPr="007C50D0">
              <w:rPr>
                <w:rFonts w:ascii="Arial CYR" w:hAnsi="Arial CYR" w:cs="Arial CYR"/>
                <w:bCs/>
              </w:rPr>
              <w:t>27,2</w:t>
            </w:r>
          </w:p>
        </w:tc>
        <w:tc>
          <w:tcPr>
            <w:tcW w:w="850" w:type="dxa"/>
            <w:tcBorders>
              <w:top w:val="thickThinLargeGap" w:sz="24" w:space="0" w:color="auto"/>
              <w:right w:val="double" w:sz="4" w:space="0" w:color="auto"/>
            </w:tcBorders>
            <w:vAlign w:val="center"/>
          </w:tcPr>
          <w:p w:rsidR="007C50D0" w:rsidRPr="007C50D0" w:rsidRDefault="007C50D0" w:rsidP="008619A6">
            <w:pPr>
              <w:contextualSpacing/>
              <w:jc w:val="center"/>
              <w:rPr>
                <w:rFonts w:ascii="Arial CYR" w:hAnsi="Arial CYR" w:cs="Arial CYR"/>
                <w:bCs/>
              </w:rPr>
            </w:pPr>
            <w:r w:rsidRPr="007C50D0">
              <w:rPr>
                <w:rFonts w:ascii="Arial CYR" w:hAnsi="Arial CYR" w:cs="Arial CYR"/>
                <w:bCs/>
              </w:rPr>
              <w:t>26,8</w:t>
            </w:r>
          </w:p>
        </w:tc>
      </w:tr>
      <w:tr w:rsidR="007C50D0" w:rsidRPr="007C50D0" w:rsidTr="000123D7">
        <w:trPr>
          <w:trHeight w:val="62"/>
        </w:trPr>
        <w:tc>
          <w:tcPr>
            <w:tcW w:w="4418" w:type="dxa"/>
            <w:tcBorders>
              <w:top w:val="single" w:sz="4" w:space="0" w:color="auto"/>
              <w:left w:val="double" w:sz="4" w:space="0" w:color="auto"/>
              <w:bottom w:val="double" w:sz="4" w:space="0" w:color="auto"/>
            </w:tcBorders>
            <w:vAlign w:val="center"/>
          </w:tcPr>
          <w:p w:rsidR="007C50D0" w:rsidRPr="007C50D0" w:rsidRDefault="007C50D0" w:rsidP="008619A6">
            <w:pPr>
              <w:contextualSpacing/>
              <w:jc w:val="center"/>
              <w:rPr>
                <w:b/>
                <w:sz w:val="24"/>
                <w:szCs w:val="24"/>
              </w:rPr>
            </w:pPr>
            <w:r w:rsidRPr="007C50D0">
              <w:rPr>
                <w:b/>
                <w:sz w:val="24"/>
                <w:szCs w:val="24"/>
              </w:rPr>
              <w:t>Жалобы на действия государственных и муниципальных служащих</w:t>
            </w:r>
          </w:p>
        </w:tc>
        <w:tc>
          <w:tcPr>
            <w:tcW w:w="969" w:type="dxa"/>
            <w:tcBorders>
              <w:top w:val="single" w:sz="4" w:space="0" w:color="auto"/>
              <w:bottom w:val="double" w:sz="4" w:space="0" w:color="auto"/>
            </w:tcBorders>
            <w:vAlign w:val="center"/>
          </w:tcPr>
          <w:p w:rsidR="007C50D0" w:rsidRPr="007C50D0" w:rsidRDefault="007C50D0" w:rsidP="008619A6">
            <w:pPr>
              <w:contextualSpacing/>
              <w:jc w:val="center"/>
              <w:rPr>
                <w:rFonts w:ascii="Arial CYR" w:hAnsi="Arial CYR" w:cs="Arial CYR"/>
                <w:bCs/>
              </w:rPr>
            </w:pPr>
            <w:r w:rsidRPr="007C50D0">
              <w:rPr>
                <w:rFonts w:ascii="Arial CYR" w:hAnsi="Arial CYR" w:cs="Arial CYR"/>
                <w:bCs/>
              </w:rPr>
              <w:t>39,4</w:t>
            </w:r>
          </w:p>
        </w:tc>
        <w:tc>
          <w:tcPr>
            <w:tcW w:w="992" w:type="dxa"/>
            <w:tcBorders>
              <w:top w:val="single" w:sz="4" w:space="0" w:color="auto"/>
              <w:bottom w:val="double" w:sz="4" w:space="0" w:color="auto"/>
            </w:tcBorders>
            <w:vAlign w:val="center"/>
          </w:tcPr>
          <w:p w:rsidR="007C50D0" w:rsidRPr="007C50D0" w:rsidRDefault="007C50D0" w:rsidP="008619A6">
            <w:pPr>
              <w:contextualSpacing/>
              <w:jc w:val="center"/>
              <w:rPr>
                <w:rFonts w:ascii="Arial CYR" w:hAnsi="Arial CYR" w:cs="Arial CYR"/>
                <w:bCs/>
              </w:rPr>
            </w:pPr>
            <w:r w:rsidRPr="007C50D0">
              <w:rPr>
                <w:rFonts w:ascii="Arial CYR" w:hAnsi="Arial CYR" w:cs="Arial CYR"/>
                <w:bCs/>
              </w:rPr>
              <w:t>39,8</w:t>
            </w:r>
          </w:p>
        </w:tc>
        <w:tc>
          <w:tcPr>
            <w:tcW w:w="992" w:type="dxa"/>
            <w:tcBorders>
              <w:top w:val="single" w:sz="4" w:space="0" w:color="auto"/>
              <w:bottom w:val="double" w:sz="4" w:space="0" w:color="auto"/>
            </w:tcBorders>
            <w:vAlign w:val="center"/>
          </w:tcPr>
          <w:p w:rsidR="007C50D0" w:rsidRPr="007C50D0" w:rsidRDefault="007C50D0" w:rsidP="008619A6">
            <w:pPr>
              <w:contextualSpacing/>
              <w:jc w:val="center"/>
              <w:rPr>
                <w:rFonts w:ascii="Arial CYR" w:hAnsi="Arial CYR" w:cs="Arial CYR"/>
                <w:bCs/>
              </w:rPr>
            </w:pPr>
            <w:r w:rsidRPr="007C50D0">
              <w:rPr>
                <w:rFonts w:ascii="Arial CYR" w:hAnsi="Arial CYR" w:cs="Arial CYR"/>
                <w:bCs/>
              </w:rPr>
              <w:t>30,7</w:t>
            </w:r>
          </w:p>
        </w:tc>
        <w:tc>
          <w:tcPr>
            <w:tcW w:w="851" w:type="dxa"/>
            <w:tcBorders>
              <w:top w:val="single" w:sz="4" w:space="0" w:color="auto"/>
              <w:bottom w:val="double" w:sz="4" w:space="0" w:color="auto"/>
            </w:tcBorders>
            <w:vAlign w:val="center"/>
          </w:tcPr>
          <w:p w:rsidR="007C50D0" w:rsidRPr="007C50D0" w:rsidRDefault="007C50D0" w:rsidP="008619A6">
            <w:pPr>
              <w:contextualSpacing/>
              <w:jc w:val="center"/>
              <w:rPr>
                <w:rFonts w:ascii="Arial CYR" w:hAnsi="Arial CYR" w:cs="Arial CYR"/>
                <w:bCs/>
              </w:rPr>
            </w:pPr>
            <w:r w:rsidRPr="007C50D0">
              <w:rPr>
                <w:rFonts w:ascii="Arial CYR" w:hAnsi="Arial CYR" w:cs="Arial CYR"/>
                <w:bCs/>
              </w:rPr>
              <w:t>30,0</w:t>
            </w:r>
          </w:p>
        </w:tc>
        <w:tc>
          <w:tcPr>
            <w:tcW w:w="850" w:type="dxa"/>
            <w:tcBorders>
              <w:top w:val="single" w:sz="4" w:space="0" w:color="auto"/>
              <w:bottom w:val="double" w:sz="4" w:space="0" w:color="auto"/>
              <w:right w:val="double" w:sz="4" w:space="0" w:color="auto"/>
            </w:tcBorders>
            <w:vAlign w:val="center"/>
          </w:tcPr>
          <w:p w:rsidR="007C50D0" w:rsidRPr="007C50D0" w:rsidRDefault="007C50D0" w:rsidP="008619A6">
            <w:pPr>
              <w:contextualSpacing/>
              <w:jc w:val="center"/>
              <w:rPr>
                <w:rFonts w:ascii="Arial CYR" w:hAnsi="Arial CYR" w:cs="Arial CYR"/>
                <w:bCs/>
              </w:rPr>
            </w:pPr>
            <w:r w:rsidRPr="007C50D0">
              <w:rPr>
                <w:rFonts w:ascii="Arial CYR" w:hAnsi="Arial CYR" w:cs="Arial CYR"/>
                <w:bCs/>
              </w:rPr>
              <w:t>34,4</w:t>
            </w:r>
          </w:p>
        </w:tc>
      </w:tr>
    </w:tbl>
    <w:p w:rsidR="007C50D0" w:rsidRPr="007C50D0" w:rsidRDefault="007C50D0" w:rsidP="008619A6">
      <w:pPr>
        <w:ind w:firstLine="840"/>
        <w:contextualSpacing/>
        <w:jc w:val="both"/>
        <w:rPr>
          <w:sz w:val="28"/>
          <w:szCs w:val="28"/>
        </w:rPr>
      </w:pPr>
      <w:r w:rsidRPr="007C50D0">
        <w:rPr>
          <w:sz w:val="28"/>
          <w:szCs w:val="28"/>
        </w:rPr>
        <w:t>Применение метода скользящей средней позволяет увидеть тенденцию уменьшения количества жалоб на действия (бездействие) государственных и муниципальных служащих (в том числе и судебных приставов), рассмотрение которых завершается удовлетворением требования.</w:t>
      </w:r>
    </w:p>
    <w:p w:rsidR="007C50D0" w:rsidRPr="007C50D0" w:rsidRDefault="007C50D0" w:rsidP="008619A6">
      <w:pPr>
        <w:ind w:firstLine="900"/>
        <w:contextualSpacing/>
        <w:jc w:val="center"/>
        <w:rPr>
          <w:sz w:val="24"/>
          <w:szCs w:val="24"/>
        </w:rPr>
      </w:pPr>
      <w:r w:rsidRPr="007C50D0">
        <w:rPr>
          <w:sz w:val="24"/>
          <w:szCs w:val="24"/>
        </w:rPr>
        <w:t xml:space="preserve">                                                                                                 </w:t>
      </w:r>
      <w:r w:rsidR="000123D7">
        <w:rPr>
          <w:sz w:val="24"/>
          <w:szCs w:val="24"/>
        </w:rPr>
        <w:t xml:space="preserve">    </w:t>
      </w:r>
      <w:r w:rsidRPr="007C50D0">
        <w:rPr>
          <w:sz w:val="24"/>
          <w:szCs w:val="24"/>
        </w:rPr>
        <w:t xml:space="preserve">    Таблица </w:t>
      </w:r>
      <w:r w:rsidR="006C7CE1">
        <w:rPr>
          <w:sz w:val="24"/>
          <w:szCs w:val="24"/>
        </w:rPr>
        <w:t>27</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827"/>
        <w:gridCol w:w="732"/>
        <w:gridCol w:w="851"/>
        <w:gridCol w:w="708"/>
        <w:gridCol w:w="709"/>
      </w:tblGrid>
      <w:tr w:rsidR="007C50D0" w:rsidRPr="007C50D0" w:rsidTr="000123D7">
        <w:trPr>
          <w:trHeight w:val="393"/>
        </w:trPr>
        <w:tc>
          <w:tcPr>
            <w:tcW w:w="9214" w:type="dxa"/>
            <w:gridSpan w:val="6"/>
            <w:tcBorders>
              <w:top w:val="doub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Динамика изменения удельного веса дел, рассмотренных с удовлетворением заявленного требования (</w:t>
            </w:r>
            <w:proofErr w:type="gramStart"/>
            <w:r w:rsidRPr="007C50D0">
              <w:rPr>
                <w:b/>
                <w:sz w:val="24"/>
                <w:szCs w:val="24"/>
              </w:rPr>
              <w:t>в</w:t>
            </w:r>
            <w:proofErr w:type="gramEnd"/>
            <w:r w:rsidRPr="007C50D0">
              <w:rPr>
                <w:b/>
                <w:sz w:val="24"/>
                <w:szCs w:val="24"/>
              </w:rPr>
              <w:t xml:space="preserve"> %)</w:t>
            </w:r>
          </w:p>
        </w:tc>
      </w:tr>
      <w:tr w:rsidR="007C50D0" w:rsidRPr="007C50D0" w:rsidTr="000123D7">
        <w:trPr>
          <w:trHeight w:val="62"/>
        </w:trPr>
        <w:tc>
          <w:tcPr>
            <w:tcW w:w="5387" w:type="dxa"/>
            <w:tcBorders>
              <w:left w:val="doub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p>
        </w:tc>
        <w:tc>
          <w:tcPr>
            <w:tcW w:w="827"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732"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851"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708"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709" w:type="dxa"/>
            <w:tcBorders>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0123D7">
        <w:trPr>
          <w:trHeight w:val="19"/>
        </w:trPr>
        <w:tc>
          <w:tcPr>
            <w:tcW w:w="5387" w:type="dxa"/>
            <w:tcBorders>
              <w:top w:val="thickThinLargeGap" w:sz="24" w:space="0" w:color="auto"/>
              <w:left w:val="double" w:sz="4" w:space="0" w:color="auto"/>
              <w:bottom w:val="single" w:sz="4" w:space="0" w:color="auto"/>
              <w:right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Взыскание обязательных платежей</w:t>
            </w:r>
          </w:p>
        </w:tc>
        <w:tc>
          <w:tcPr>
            <w:tcW w:w="827"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w:t>
            </w:r>
          </w:p>
        </w:tc>
        <w:tc>
          <w:tcPr>
            <w:tcW w:w="732"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w:t>
            </w:r>
          </w:p>
        </w:tc>
        <w:tc>
          <w:tcPr>
            <w:tcW w:w="851"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w:t>
            </w:r>
          </w:p>
        </w:tc>
        <w:tc>
          <w:tcPr>
            <w:tcW w:w="708"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78,1</w:t>
            </w:r>
          </w:p>
        </w:tc>
        <w:tc>
          <w:tcPr>
            <w:tcW w:w="709" w:type="dxa"/>
            <w:tcBorders>
              <w:top w:val="thickThinLargeGap" w:sz="24" w:space="0" w:color="auto"/>
              <w:left w:val="single" w:sz="4" w:space="0" w:color="auto"/>
              <w:bottom w:val="single" w:sz="4" w:space="0" w:color="auto"/>
              <w:right w:val="double" w:sz="4" w:space="0" w:color="auto"/>
            </w:tcBorders>
            <w:vAlign w:val="center"/>
          </w:tcPr>
          <w:p w:rsidR="007C50D0" w:rsidRPr="007C50D0" w:rsidRDefault="007C50D0" w:rsidP="008619A6">
            <w:pPr>
              <w:contextualSpacing/>
              <w:jc w:val="center"/>
              <w:rPr>
                <w:i/>
                <w:sz w:val="24"/>
                <w:szCs w:val="24"/>
              </w:rPr>
            </w:pPr>
            <w:r w:rsidRPr="007C50D0">
              <w:rPr>
                <w:i/>
                <w:sz w:val="24"/>
                <w:szCs w:val="24"/>
              </w:rPr>
              <w:t>51,2</w:t>
            </w:r>
          </w:p>
        </w:tc>
      </w:tr>
      <w:tr w:rsidR="007C50D0" w:rsidRPr="007C50D0" w:rsidTr="000123D7">
        <w:trPr>
          <w:trHeight w:val="445"/>
        </w:trPr>
        <w:tc>
          <w:tcPr>
            <w:tcW w:w="5387" w:type="dxa"/>
            <w:tcBorders>
              <w:top w:val="single" w:sz="4" w:space="0" w:color="auto"/>
              <w:left w:val="double" w:sz="4" w:space="0" w:color="auto"/>
              <w:bottom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 xml:space="preserve">Оспаривание решений, действий органов гос. власти, местного самоуправления, </w:t>
            </w:r>
            <w:proofErr w:type="spellStart"/>
            <w:r w:rsidRPr="007C50D0">
              <w:rPr>
                <w:b/>
                <w:sz w:val="24"/>
                <w:szCs w:val="24"/>
              </w:rPr>
              <w:t>долж</w:t>
            </w:r>
            <w:proofErr w:type="spellEnd"/>
            <w:r w:rsidRPr="007C50D0">
              <w:rPr>
                <w:b/>
                <w:sz w:val="24"/>
                <w:szCs w:val="24"/>
              </w:rPr>
              <w:t xml:space="preserve">. лиц, гос. и </w:t>
            </w:r>
            <w:proofErr w:type="spellStart"/>
            <w:r w:rsidRPr="007C50D0">
              <w:rPr>
                <w:b/>
                <w:sz w:val="24"/>
                <w:szCs w:val="24"/>
              </w:rPr>
              <w:t>муницип</w:t>
            </w:r>
            <w:proofErr w:type="spellEnd"/>
            <w:r w:rsidRPr="007C50D0">
              <w:rPr>
                <w:b/>
                <w:sz w:val="24"/>
                <w:szCs w:val="24"/>
              </w:rPr>
              <w:t>. служащих</w:t>
            </w:r>
          </w:p>
        </w:tc>
        <w:tc>
          <w:tcPr>
            <w:tcW w:w="827" w:type="dxa"/>
            <w:tcBorders>
              <w:top w:val="single" w:sz="4" w:space="0" w:color="auto"/>
              <w:bottom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33,9</w:t>
            </w:r>
          </w:p>
        </w:tc>
        <w:tc>
          <w:tcPr>
            <w:tcW w:w="732" w:type="dxa"/>
            <w:tcBorders>
              <w:top w:val="single" w:sz="4" w:space="0" w:color="auto"/>
              <w:bottom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26,3</w:t>
            </w:r>
          </w:p>
        </w:tc>
        <w:tc>
          <w:tcPr>
            <w:tcW w:w="851" w:type="dxa"/>
            <w:tcBorders>
              <w:top w:val="single" w:sz="4" w:space="0" w:color="auto"/>
              <w:bottom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32,4</w:t>
            </w:r>
          </w:p>
        </w:tc>
        <w:tc>
          <w:tcPr>
            <w:tcW w:w="708" w:type="dxa"/>
            <w:tcBorders>
              <w:top w:val="single" w:sz="4" w:space="0" w:color="auto"/>
              <w:bottom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39,1</w:t>
            </w:r>
          </w:p>
        </w:tc>
        <w:tc>
          <w:tcPr>
            <w:tcW w:w="709" w:type="dxa"/>
            <w:tcBorders>
              <w:top w:val="single" w:sz="4" w:space="0" w:color="auto"/>
              <w:bottom w:val="single" w:sz="4" w:space="0" w:color="auto"/>
              <w:right w:val="double" w:sz="4" w:space="0" w:color="auto"/>
            </w:tcBorders>
            <w:vAlign w:val="center"/>
          </w:tcPr>
          <w:p w:rsidR="007C50D0" w:rsidRPr="007C50D0" w:rsidRDefault="007C50D0" w:rsidP="008619A6">
            <w:pPr>
              <w:contextualSpacing/>
              <w:jc w:val="center"/>
              <w:rPr>
                <w:i/>
                <w:sz w:val="24"/>
                <w:szCs w:val="24"/>
              </w:rPr>
            </w:pPr>
            <w:r w:rsidRPr="007C50D0">
              <w:rPr>
                <w:i/>
                <w:sz w:val="24"/>
                <w:szCs w:val="24"/>
              </w:rPr>
              <w:t>37,1</w:t>
            </w:r>
          </w:p>
        </w:tc>
      </w:tr>
      <w:tr w:rsidR="007C50D0" w:rsidRPr="007C50D0" w:rsidTr="000123D7">
        <w:trPr>
          <w:trHeight w:val="187"/>
        </w:trPr>
        <w:tc>
          <w:tcPr>
            <w:tcW w:w="5387" w:type="dxa"/>
            <w:tcBorders>
              <w:top w:val="single" w:sz="4" w:space="0" w:color="auto"/>
              <w:left w:val="double" w:sz="4" w:space="0" w:color="auto"/>
              <w:bottom w:val="single" w:sz="4" w:space="0" w:color="auto"/>
              <w:right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Административный надзор</w:t>
            </w:r>
          </w:p>
        </w:tc>
        <w:tc>
          <w:tcPr>
            <w:tcW w:w="827"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89,6</w:t>
            </w:r>
          </w:p>
        </w:tc>
        <w:tc>
          <w:tcPr>
            <w:tcW w:w="732"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87,8</w:t>
            </w:r>
          </w:p>
        </w:tc>
        <w:tc>
          <w:tcPr>
            <w:tcW w:w="851"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88,5</w:t>
            </w:r>
          </w:p>
        </w:tc>
        <w:tc>
          <w:tcPr>
            <w:tcW w:w="708"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91,7</w:t>
            </w:r>
          </w:p>
        </w:tc>
        <w:tc>
          <w:tcPr>
            <w:tcW w:w="709" w:type="dxa"/>
            <w:tcBorders>
              <w:top w:val="single" w:sz="4" w:space="0" w:color="auto"/>
              <w:left w:val="single" w:sz="4" w:space="0" w:color="auto"/>
              <w:bottom w:val="single" w:sz="4" w:space="0" w:color="auto"/>
              <w:right w:val="double" w:sz="4" w:space="0" w:color="auto"/>
            </w:tcBorders>
            <w:vAlign w:val="center"/>
          </w:tcPr>
          <w:p w:rsidR="007C50D0" w:rsidRPr="007C50D0" w:rsidRDefault="007C50D0" w:rsidP="008619A6">
            <w:pPr>
              <w:contextualSpacing/>
              <w:jc w:val="center"/>
              <w:rPr>
                <w:i/>
                <w:sz w:val="22"/>
                <w:szCs w:val="22"/>
              </w:rPr>
            </w:pPr>
            <w:r w:rsidRPr="007C50D0">
              <w:rPr>
                <w:i/>
                <w:sz w:val="22"/>
                <w:szCs w:val="22"/>
              </w:rPr>
              <w:t>91,9</w:t>
            </w:r>
          </w:p>
        </w:tc>
      </w:tr>
      <w:tr w:rsidR="007C50D0" w:rsidRPr="007C50D0" w:rsidTr="000123D7">
        <w:trPr>
          <w:trHeight w:val="319"/>
        </w:trPr>
        <w:tc>
          <w:tcPr>
            <w:tcW w:w="5387" w:type="dxa"/>
            <w:tcBorders>
              <w:top w:val="single" w:sz="4" w:space="0" w:color="auto"/>
              <w:left w:val="double" w:sz="4" w:space="0" w:color="auto"/>
              <w:bottom w:val="single" w:sz="4" w:space="0" w:color="auto"/>
              <w:right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Госпитализация в мед</w:t>
            </w:r>
            <w:proofErr w:type="gramStart"/>
            <w:r w:rsidRPr="007C50D0">
              <w:rPr>
                <w:b/>
                <w:sz w:val="24"/>
                <w:szCs w:val="24"/>
              </w:rPr>
              <w:t>.</w:t>
            </w:r>
            <w:proofErr w:type="gramEnd"/>
            <w:r w:rsidRPr="007C50D0">
              <w:rPr>
                <w:b/>
                <w:sz w:val="24"/>
                <w:szCs w:val="24"/>
              </w:rPr>
              <w:t xml:space="preserve"> </w:t>
            </w:r>
            <w:proofErr w:type="gramStart"/>
            <w:r w:rsidRPr="007C50D0">
              <w:rPr>
                <w:b/>
                <w:sz w:val="24"/>
                <w:szCs w:val="24"/>
              </w:rPr>
              <w:t>у</w:t>
            </w:r>
            <w:proofErr w:type="gramEnd"/>
            <w:r w:rsidRPr="007C50D0">
              <w:rPr>
                <w:b/>
                <w:sz w:val="24"/>
                <w:szCs w:val="24"/>
              </w:rPr>
              <w:t>чреждение, оказывающее психиатрическую помощь</w:t>
            </w:r>
          </w:p>
        </w:tc>
        <w:tc>
          <w:tcPr>
            <w:tcW w:w="827"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96,1</w:t>
            </w:r>
          </w:p>
        </w:tc>
        <w:tc>
          <w:tcPr>
            <w:tcW w:w="732"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94,7</w:t>
            </w:r>
          </w:p>
        </w:tc>
        <w:tc>
          <w:tcPr>
            <w:tcW w:w="851"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94,9</w:t>
            </w:r>
          </w:p>
        </w:tc>
        <w:tc>
          <w:tcPr>
            <w:tcW w:w="708"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95,6</w:t>
            </w:r>
          </w:p>
        </w:tc>
        <w:tc>
          <w:tcPr>
            <w:tcW w:w="709" w:type="dxa"/>
            <w:tcBorders>
              <w:top w:val="single" w:sz="4" w:space="0" w:color="auto"/>
              <w:left w:val="single" w:sz="4" w:space="0" w:color="auto"/>
              <w:bottom w:val="single" w:sz="4" w:space="0" w:color="auto"/>
              <w:right w:val="double" w:sz="4" w:space="0" w:color="auto"/>
            </w:tcBorders>
            <w:vAlign w:val="center"/>
          </w:tcPr>
          <w:p w:rsidR="007C50D0" w:rsidRPr="007C50D0" w:rsidRDefault="007C50D0" w:rsidP="008619A6">
            <w:pPr>
              <w:contextualSpacing/>
              <w:jc w:val="center"/>
              <w:rPr>
                <w:i/>
                <w:sz w:val="22"/>
                <w:szCs w:val="22"/>
              </w:rPr>
            </w:pPr>
            <w:r w:rsidRPr="007C50D0">
              <w:rPr>
                <w:i/>
                <w:sz w:val="22"/>
                <w:szCs w:val="22"/>
              </w:rPr>
              <w:t>94,7</w:t>
            </w:r>
          </w:p>
        </w:tc>
      </w:tr>
      <w:tr w:rsidR="007C50D0" w:rsidRPr="007C50D0" w:rsidTr="000123D7">
        <w:trPr>
          <w:trHeight w:val="327"/>
        </w:trPr>
        <w:tc>
          <w:tcPr>
            <w:tcW w:w="5387" w:type="dxa"/>
            <w:tcBorders>
              <w:top w:val="single" w:sz="4" w:space="0" w:color="auto"/>
              <w:left w:val="double" w:sz="4" w:space="0" w:color="auto"/>
              <w:bottom w:val="double" w:sz="4" w:space="0" w:color="auto"/>
              <w:right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 xml:space="preserve">Прекращение </w:t>
            </w:r>
            <w:proofErr w:type="spellStart"/>
            <w:r w:rsidRPr="007C50D0">
              <w:rPr>
                <w:b/>
                <w:sz w:val="24"/>
                <w:szCs w:val="24"/>
              </w:rPr>
              <w:t>деят-ти</w:t>
            </w:r>
            <w:proofErr w:type="spellEnd"/>
            <w:r w:rsidRPr="007C50D0">
              <w:rPr>
                <w:b/>
                <w:sz w:val="24"/>
                <w:szCs w:val="24"/>
              </w:rPr>
              <w:t>, ликвидация организаций, объединений, партий, СМИ</w:t>
            </w:r>
          </w:p>
        </w:tc>
        <w:tc>
          <w:tcPr>
            <w:tcW w:w="827"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92,2</w:t>
            </w:r>
          </w:p>
        </w:tc>
        <w:tc>
          <w:tcPr>
            <w:tcW w:w="732"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84,4</w:t>
            </w:r>
          </w:p>
        </w:tc>
        <w:tc>
          <w:tcPr>
            <w:tcW w:w="851"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86,1</w:t>
            </w:r>
          </w:p>
        </w:tc>
        <w:tc>
          <w:tcPr>
            <w:tcW w:w="708"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95,0</w:t>
            </w:r>
          </w:p>
        </w:tc>
        <w:tc>
          <w:tcPr>
            <w:tcW w:w="709" w:type="dxa"/>
            <w:tcBorders>
              <w:top w:val="single" w:sz="4" w:space="0" w:color="auto"/>
              <w:left w:val="single" w:sz="4" w:space="0" w:color="auto"/>
              <w:bottom w:val="double" w:sz="4" w:space="0" w:color="auto"/>
              <w:right w:val="double" w:sz="4" w:space="0" w:color="auto"/>
            </w:tcBorders>
            <w:vAlign w:val="center"/>
          </w:tcPr>
          <w:p w:rsidR="007C50D0" w:rsidRPr="007C50D0" w:rsidRDefault="007C50D0" w:rsidP="008619A6">
            <w:pPr>
              <w:contextualSpacing/>
              <w:jc w:val="center"/>
              <w:rPr>
                <w:i/>
                <w:sz w:val="22"/>
                <w:szCs w:val="22"/>
              </w:rPr>
            </w:pPr>
            <w:r w:rsidRPr="007C50D0">
              <w:rPr>
                <w:i/>
                <w:sz w:val="22"/>
                <w:szCs w:val="22"/>
              </w:rPr>
              <w:t>90,2</w:t>
            </w:r>
          </w:p>
        </w:tc>
      </w:tr>
    </w:tbl>
    <w:p w:rsidR="007C50D0" w:rsidRPr="007C50D0" w:rsidRDefault="007C50D0" w:rsidP="008619A6">
      <w:pPr>
        <w:ind w:firstLine="840"/>
        <w:contextualSpacing/>
        <w:jc w:val="both"/>
        <w:rPr>
          <w:sz w:val="28"/>
          <w:szCs w:val="28"/>
        </w:rPr>
      </w:pPr>
      <w:r w:rsidRPr="007C50D0">
        <w:rPr>
          <w:sz w:val="28"/>
          <w:szCs w:val="28"/>
        </w:rPr>
        <w:t xml:space="preserve">Сумма, присужденная к взысканию по удовлетворенным искам, составила 130,8 млн. руб., что в 2,7 раза меньше показателя прошлого года (354,2 млн. руб.) и пропорционально уменьшению общего количества административных дел, рассмотренных районными судами в 2017 году. </w:t>
      </w:r>
    </w:p>
    <w:p w:rsidR="007C50D0" w:rsidRPr="007C50D0" w:rsidRDefault="007C50D0" w:rsidP="008619A6">
      <w:pPr>
        <w:ind w:firstLine="840"/>
        <w:contextualSpacing/>
        <w:jc w:val="both"/>
        <w:rPr>
          <w:sz w:val="28"/>
          <w:szCs w:val="28"/>
        </w:rPr>
      </w:pPr>
      <w:r w:rsidRPr="007C50D0">
        <w:rPr>
          <w:sz w:val="28"/>
          <w:szCs w:val="28"/>
        </w:rPr>
        <w:t>Отказом в удовлетворении заявленного требования в общей сложности завершено 2591 дело, что составляет 24,4% от общего количества рассмотренных административных исков. В 2016 году с таким результатом было рассмотрено 10,0% административных дел.</w:t>
      </w:r>
    </w:p>
    <w:p w:rsidR="007C50D0" w:rsidRPr="007C50D0" w:rsidRDefault="007C50D0" w:rsidP="008619A6">
      <w:pPr>
        <w:ind w:firstLine="840"/>
        <w:contextualSpacing/>
        <w:jc w:val="both"/>
        <w:rPr>
          <w:sz w:val="28"/>
          <w:szCs w:val="28"/>
        </w:rPr>
      </w:pPr>
      <w:r w:rsidRPr="007C50D0">
        <w:rPr>
          <w:sz w:val="28"/>
          <w:szCs w:val="28"/>
        </w:rPr>
        <w:t xml:space="preserve">Чаще всего завершалось отказом рассмотрение дел, связанных с оспариванием решений, действий (бездействия) органов государственной и муниципальной власти, а также организаций, наделенных отдельными государственными или публичными полномочиями, должностных лиц, государственных и муниципальных служащих (глава 22 КАС РФ). А именно: 2145 дел этой группы завершено отказом в удовлетворении требования, – </w:t>
      </w:r>
      <w:r w:rsidRPr="007C50D0">
        <w:rPr>
          <w:sz w:val="28"/>
          <w:szCs w:val="28"/>
        </w:rPr>
        <w:lastRenderedPageBreak/>
        <w:t xml:space="preserve">39,6% от дел, рассмотренных по нормам главы 22 КАС РФ, и 82,8% от всех административных дел с таким результатом рассмотрения. Для сравнения: в 2016 году доля дел аналогичных категорий, рассмотренных с отказом в удовлетворении требования, составляла 37,1% от дел данной группы и 50% от всех административных исков, завершенных отказом в удовлетворении. </w:t>
      </w:r>
    </w:p>
    <w:p w:rsidR="007C50D0" w:rsidRPr="007C50D0" w:rsidRDefault="007C50D0" w:rsidP="008619A6">
      <w:pPr>
        <w:ind w:firstLine="840"/>
        <w:contextualSpacing/>
        <w:jc w:val="both"/>
        <w:rPr>
          <w:sz w:val="28"/>
          <w:szCs w:val="28"/>
        </w:rPr>
      </w:pPr>
      <w:proofErr w:type="gramStart"/>
      <w:r w:rsidRPr="007C50D0">
        <w:rPr>
          <w:sz w:val="28"/>
          <w:szCs w:val="28"/>
        </w:rPr>
        <w:t>Доля дел о взыскании денежных сумм в счет уплаты обязательных платежей и санкций, завершенных отказом в удовлетворении заявленного требования, составила в 2017 году 22,5% от количества рассмотренных дел по нормам главы 32 КАС РФ, тогда как в 2016 году удельный вес «отказных» дел составлял 4,8% от количества рассмотренных дел данной категории.</w:t>
      </w:r>
      <w:proofErr w:type="gramEnd"/>
    </w:p>
    <w:p w:rsidR="007C50D0" w:rsidRPr="007C50D0" w:rsidRDefault="007C50D0" w:rsidP="008619A6">
      <w:pPr>
        <w:ind w:firstLine="840"/>
        <w:contextualSpacing/>
        <w:jc w:val="both"/>
        <w:rPr>
          <w:sz w:val="28"/>
          <w:szCs w:val="28"/>
        </w:rPr>
      </w:pPr>
      <w:r w:rsidRPr="007C50D0">
        <w:rPr>
          <w:sz w:val="28"/>
          <w:szCs w:val="28"/>
        </w:rPr>
        <w:t xml:space="preserve">Прекращено производство при рассмотрении 14,2% административных дел. В абсолютном исчислении это 1507 административных дел, что в 2,2 раза превышает показатель 2016 года. </w:t>
      </w:r>
    </w:p>
    <w:p w:rsidR="007C50D0" w:rsidRPr="007C50D0" w:rsidRDefault="007C50D0" w:rsidP="008619A6">
      <w:pPr>
        <w:ind w:firstLine="840"/>
        <w:contextualSpacing/>
        <w:jc w:val="both"/>
        <w:rPr>
          <w:sz w:val="28"/>
          <w:szCs w:val="28"/>
        </w:rPr>
      </w:pPr>
      <w:r w:rsidRPr="007C50D0">
        <w:rPr>
          <w:sz w:val="28"/>
          <w:szCs w:val="28"/>
        </w:rPr>
        <w:t>Из них 74,9% (-12,4%) прекращено в связи с отказом административного истца от иска.</w:t>
      </w:r>
      <w:r w:rsidRPr="007C50D0">
        <w:rPr>
          <w:color w:val="0000FF"/>
          <w:sz w:val="28"/>
          <w:szCs w:val="28"/>
        </w:rPr>
        <w:t xml:space="preserve"> </w:t>
      </w:r>
      <w:r w:rsidRPr="007C50D0">
        <w:rPr>
          <w:sz w:val="28"/>
          <w:szCs w:val="28"/>
        </w:rPr>
        <w:t>Другая существенная причина прекращения производства по административным делам – дело не подлежит рассмотрению и разрешению в суде в порядке административного судопроизводства (п.1 ч.1 ст.194 КАС РФ). По такому основанию прекращено 9,2% (-3,4%).</w:t>
      </w:r>
    </w:p>
    <w:p w:rsidR="007C50D0" w:rsidRPr="007C50D0" w:rsidRDefault="007C50D0" w:rsidP="008619A6">
      <w:pPr>
        <w:ind w:firstLine="840"/>
        <w:contextualSpacing/>
        <w:jc w:val="both"/>
        <w:rPr>
          <w:sz w:val="28"/>
          <w:szCs w:val="28"/>
        </w:rPr>
      </w:pPr>
      <w:r w:rsidRPr="007C50D0">
        <w:rPr>
          <w:sz w:val="28"/>
          <w:szCs w:val="28"/>
        </w:rPr>
        <w:t>Чаще всего прекращались дела, связанные с оспариванием решений, действий (бездействия) органов государственной и муниципальной власти, а также организаций, наделенных отдельными государственными или публичными полномочиями, должностных лиц, государственных и муниципальных служащих. Удельный вес прекращенных дел в данной группе составляет 19,5%, что на 2,5% меньше, чем в прошлом отчетном периоде.</w:t>
      </w:r>
    </w:p>
    <w:p w:rsidR="007C50D0" w:rsidRPr="007C50D0" w:rsidRDefault="007C50D0" w:rsidP="008619A6">
      <w:pPr>
        <w:ind w:firstLine="840"/>
        <w:contextualSpacing/>
        <w:jc w:val="both"/>
        <w:rPr>
          <w:sz w:val="28"/>
          <w:szCs w:val="28"/>
        </w:rPr>
      </w:pPr>
      <w:r w:rsidRPr="007C50D0">
        <w:rPr>
          <w:sz w:val="28"/>
          <w:szCs w:val="28"/>
        </w:rPr>
        <w:t>Достаточно весома также доля дел о взыскании обязательных платежей, завершенных прекращением производства, – 21,3%, что на 9,5% больше, чем в 2016 году.</w:t>
      </w:r>
    </w:p>
    <w:p w:rsidR="007C50D0" w:rsidRDefault="007C50D0" w:rsidP="008619A6">
      <w:pPr>
        <w:ind w:firstLine="840"/>
        <w:contextualSpacing/>
        <w:jc w:val="both"/>
        <w:rPr>
          <w:sz w:val="28"/>
          <w:szCs w:val="28"/>
        </w:rPr>
      </w:pPr>
      <w:r w:rsidRPr="007C50D0">
        <w:rPr>
          <w:sz w:val="28"/>
          <w:szCs w:val="28"/>
        </w:rPr>
        <w:t>В 2017 году в соответствии со статистическими данными районных (городских) судов 28 заявлений, или 0,2% от общего числа поступивших в суд, были приняты к производству с нарушением срока. Это в 10 раз меньше по сравнению с 2016 годом.</w:t>
      </w:r>
    </w:p>
    <w:p w:rsidR="000123D7" w:rsidRPr="007C50D0" w:rsidRDefault="000123D7" w:rsidP="008619A6">
      <w:pPr>
        <w:ind w:firstLine="840"/>
        <w:contextualSpacing/>
        <w:jc w:val="both"/>
        <w:rPr>
          <w:sz w:val="28"/>
          <w:szCs w:val="28"/>
        </w:rPr>
      </w:pPr>
      <w:r w:rsidRPr="00400A06">
        <w:rPr>
          <w:sz w:val="28"/>
          <w:szCs w:val="28"/>
        </w:rPr>
        <w:t>225 дел, или 2,1%</w:t>
      </w:r>
      <w:r>
        <w:rPr>
          <w:sz w:val="28"/>
          <w:szCs w:val="28"/>
        </w:rPr>
        <w:t>,</w:t>
      </w:r>
      <w:r w:rsidRPr="00400A06">
        <w:rPr>
          <w:sz w:val="28"/>
          <w:szCs w:val="28"/>
        </w:rPr>
        <w:t xml:space="preserve"> рассмотрен</w:t>
      </w:r>
      <w:r>
        <w:rPr>
          <w:sz w:val="28"/>
          <w:szCs w:val="28"/>
        </w:rPr>
        <w:t>о</w:t>
      </w:r>
      <w:r w:rsidRPr="00400A06">
        <w:rPr>
          <w:sz w:val="28"/>
          <w:szCs w:val="28"/>
        </w:rPr>
        <w:t xml:space="preserve"> с нарушением процессуального срока.</w:t>
      </w:r>
    </w:p>
    <w:p w:rsidR="007C50D0" w:rsidRPr="007C50D0" w:rsidRDefault="007C50D0" w:rsidP="008619A6">
      <w:pPr>
        <w:ind w:firstLine="900"/>
        <w:contextualSpacing/>
        <w:jc w:val="center"/>
        <w:rPr>
          <w:bCs/>
          <w:sz w:val="28"/>
          <w:szCs w:val="28"/>
        </w:rPr>
      </w:pPr>
      <w:r w:rsidRPr="007C50D0">
        <w:rPr>
          <w:sz w:val="24"/>
          <w:szCs w:val="24"/>
        </w:rPr>
        <w:t xml:space="preserve">                                                                                                         Таблица 2</w:t>
      </w:r>
      <w:r w:rsidR="006C7CE1">
        <w:rPr>
          <w:sz w:val="24"/>
          <w:szCs w:val="24"/>
        </w:rPr>
        <w:t>8</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1985"/>
        <w:gridCol w:w="2126"/>
        <w:gridCol w:w="2126"/>
      </w:tblGrid>
      <w:tr w:rsidR="007C50D0" w:rsidRPr="007C50D0" w:rsidTr="000123D7">
        <w:trPr>
          <w:trHeight w:val="950"/>
        </w:trPr>
        <w:tc>
          <w:tcPr>
            <w:tcW w:w="567" w:type="dxa"/>
            <w:tcBorders>
              <w:top w:val="double" w:sz="4" w:space="0" w:color="auto"/>
              <w:left w:val="double" w:sz="4" w:space="0" w:color="auto"/>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p>
        </w:tc>
        <w:tc>
          <w:tcPr>
            <w:tcW w:w="2410" w:type="dxa"/>
            <w:tcBorders>
              <w:top w:val="double" w:sz="4" w:space="0" w:color="auto"/>
              <w:left w:val="doub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Наименование суда</w:t>
            </w:r>
          </w:p>
        </w:tc>
        <w:tc>
          <w:tcPr>
            <w:tcW w:w="1985" w:type="dxa"/>
            <w:tcBorders>
              <w:top w:val="doub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bCs/>
                <w:sz w:val="24"/>
                <w:szCs w:val="24"/>
              </w:rPr>
            </w:pPr>
            <w:r w:rsidRPr="007C50D0">
              <w:rPr>
                <w:b/>
                <w:bCs/>
                <w:sz w:val="24"/>
                <w:szCs w:val="24"/>
              </w:rPr>
              <w:t>Кол-во дел, рассмотренных с нарушением проц. срока</w:t>
            </w:r>
          </w:p>
        </w:tc>
        <w:tc>
          <w:tcPr>
            <w:tcW w:w="2126" w:type="dxa"/>
            <w:tcBorders>
              <w:top w:val="double" w:sz="4" w:space="0" w:color="auto"/>
              <w:left w:val="single" w:sz="4" w:space="0" w:color="auto"/>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Наименование суда</w:t>
            </w:r>
          </w:p>
        </w:tc>
        <w:tc>
          <w:tcPr>
            <w:tcW w:w="2126" w:type="dxa"/>
            <w:tcBorders>
              <w:top w:val="double" w:sz="4" w:space="0" w:color="auto"/>
              <w:left w:val="single" w:sz="4" w:space="0" w:color="auto"/>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bCs/>
                <w:sz w:val="24"/>
                <w:szCs w:val="24"/>
              </w:rPr>
            </w:pPr>
            <w:r w:rsidRPr="007C50D0">
              <w:rPr>
                <w:b/>
                <w:bCs/>
                <w:sz w:val="24"/>
                <w:szCs w:val="24"/>
              </w:rPr>
              <w:t>Кол-во дел, рассмотренных с нарушением проц. срока</w:t>
            </w:r>
          </w:p>
        </w:tc>
      </w:tr>
      <w:tr w:rsidR="007C50D0" w:rsidRPr="007C50D0" w:rsidTr="000123D7">
        <w:trPr>
          <w:trHeight w:val="30"/>
        </w:trPr>
        <w:tc>
          <w:tcPr>
            <w:tcW w:w="567" w:type="dxa"/>
            <w:tcBorders>
              <w:top w:val="thickThinLargeGap" w:sz="2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rFonts w:ascii="Times New Roman CYR" w:hAnsi="Times New Roman CYR" w:cs="Times New Roman CYR"/>
                <w:sz w:val="24"/>
                <w:szCs w:val="24"/>
              </w:rPr>
            </w:pPr>
            <w:r w:rsidRPr="007C50D0">
              <w:rPr>
                <w:rFonts w:ascii="Times New Roman CYR" w:hAnsi="Times New Roman CYR" w:cs="Times New Roman CYR"/>
                <w:sz w:val="24"/>
                <w:szCs w:val="24"/>
              </w:rPr>
              <w:t>1</w:t>
            </w:r>
          </w:p>
        </w:tc>
        <w:tc>
          <w:tcPr>
            <w:tcW w:w="2410" w:type="dxa"/>
            <w:tcBorders>
              <w:top w:val="thickThinLargeGap" w:sz="24" w:space="0" w:color="auto"/>
              <w:left w:val="double" w:sz="4" w:space="0" w:color="auto"/>
              <w:bottom w:val="dotted"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Советский</w:t>
            </w:r>
          </w:p>
        </w:tc>
        <w:tc>
          <w:tcPr>
            <w:tcW w:w="1985" w:type="dxa"/>
            <w:tcBorders>
              <w:top w:val="thickThinLargeGap" w:sz="24" w:space="0" w:color="auto"/>
              <w:bottom w:val="dotted"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51</w:t>
            </w:r>
          </w:p>
        </w:tc>
        <w:tc>
          <w:tcPr>
            <w:tcW w:w="2126" w:type="dxa"/>
            <w:tcBorders>
              <w:top w:val="thickThinLargeGap" w:sz="24" w:space="0" w:color="auto"/>
              <w:bottom w:val="dotted" w:sz="4" w:space="0" w:color="auto"/>
            </w:tcBorders>
            <w:shd w:val="clear" w:color="auto" w:fill="auto"/>
            <w:vAlign w:val="center"/>
          </w:tcPr>
          <w:p w:rsidR="007C50D0" w:rsidRPr="007C50D0" w:rsidRDefault="007C50D0" w:rsidP="008619A6">
            <w:pPr>
              <w:contextualSpacing/>
              <w:jc w:val="center"/>
              <w:rPr>
                <w:sz w:val="24"/>
                <w:szCs w:val="24"/>
              </w:rPr>
            </w:pPr>
            <w:proofErr w:type="spellStart"/>
            <w:r w:rsidRPr="007C50D0">
              <w:rPr>
                <w:sz w:val="24"/>
                <w:szCs w:val="24"/>
              </w:rPr>
              <w:t>Лаишевский</w:t>
            </w:r>
            <w:proofErr w:type="spellEnd"/>
          </w:p>
        </w:tc>
        <w:tc>
          <w:tcPr>
            <w:tcW w:w="2126" w:type="dxa"/>
            <w:tcBorders>
              <w:top w:val="thickThinLargeGap" w:sz="2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10</w:t>
            </w:r>
          </w:p>
        </w:tc>
      </w:tr>
      <w:tr w:rsidR="007C50D0" w:rsidRPr="007C50D0" w:rsidTr="000123D7">
        <w:trPr>
          <w:trHeight w:val="62"/>
        </w:trPr>
        <w:tc>
          <w:tcPr>
            <w:tcW w:w="567" w:type="dxa"/>
            <w:tcBorders>
              <w:top w:val="dotted"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sz w:val="22"/>
                <w:szCs w:val="22"/>
              </w:rPr>
            </w:pPr>
            <w:r w:rsidRPr="007C50D0">
              <w:rPr>
                <w:sz w:val="22"/>
                <w:szCs w:val="22"/>
              </w:rPr>
              <w:t>2</w:t>
            </w:r>
          </w:p>
        </w:tc>
        <w:tc>
          <w:tcPr>
            <w:tcW w:w="2410" w:type="dxa"/>
            <w:tcBorders>
              <w:top w:val="dotted" w:sz="4" w:space="0" w:color="auto"/>
              <w:left w:val="double" w:sz="4" w:space="0" w:color="auto"/>
              <w:bottom w:val="dotted" w:sz="4" w:space="0" w:color="auto"/>
              <w:right w:val="single" w:sz="4" w:space="0" w:color="auto"/>
            </w:tcBorders>
            <w:shd w:val="clear" w:color="auto" w:fill="auto"/>
            <w:vAlign w:val="center"/>
          </w:tcPr>
          <w:p w:rsidR="007C50D0" w:rsidRPr="007C50D0" w:rsidRDefault="007C50D0" w:rsidP="008619A6">
            <w:pPr>
              <w:contextualSpacing/>
              <w:jc w:val="center"/>
              <w:rPr>
                <w:sz w:val="24"/>
                <w:szCs w:val="24"/>
              </w:rPr>
            </w:pPr>
            <w:proofErr w:type="spellStart"/>
            <w:r w:rsidRPr="007C50D0">
              <w:rPr>
                <w:sz w:val="24"/>
                <w:szCs w:val="24"/>
              </w:rPr>
              <w:t>Вахитовский</w:t>
            </w:r>
            <w:proofErr w:type="spellEnd"/>
          </w:p>
        </w:tc>
        <w:tc>
          <w:tcPr>
            <w:tcW w:w="1985" w:type="dxa"/>
            <w:tcBorders>
              <w:top w:val="dotted" w:sz="4" w:space="0" w:color="auto"/>
              <w:left w:val="single" w:sz="4" w:space="0" w:color="auto"/>
              <w:bottom w:val="dotted" w:sz="4" w:space="0" w:color="auto"/>
              <w:right w:val="sing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34</w:t>
            </w:r>
          </w:p>
        </w:tc>
        <w:tc>
          <w:tcPr>
            <w:tcW w:w="2126" w:type="dxa"/>
            <w:tcBorders>
              <w:top w:val="dotted" w:sz="4" w:space="0" w:color="auto"/>
              <w:left w:val="single" w:sz="4" w:space="0" w:color="auto"/>
              <w:bottom w:val="dotted" w:sz="4" w:space="0" w:color="auto"/>
              <w:right w:val="sing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Московский</w:t>
            </w:r>
          </w:p>
        </w:tc>
        <w:tc>
          <w:tcPr>
            <w:tcW w:w="2126" w:type="dxa"/>
            <w:tcBorders>
              <w:top w:val="dotted" w:sz="4" w:space="0" w:color="auto"/>
              <w:left w:val="sing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9</w:t>
            </w:r>
          </w:p>
        </w:tc>
      </w:tr>
      <w:tr w:rsidR="007C50D0" w:rsidRPr="007C50D0" w:rsidTr="000123D7">
        <w:trPr>
          <w:trHeight w:val="62"/>
        </w:trPr>
        <w:tc>
          <w:tcPr>
            <w:tcW w:w="567" w:type="dxa"/>
            <w:tcBorders>
              <w:top w:val="dotted"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rFonts w:ascii="Times New Roman CYR" w:hAnsi="Times New Roman CYR" w:cs="Times New Roman CYR"/>
                <w:sz w:val="24"/>
                <w:szCs w:val="24"/>
              </w:rPr>
            </w:pPr>
            <w:r w:rsidRPr="007C50D0">
              <w:rPr>
                <w:rFonts w:ascii="Times New Roman CYR" w:hAnsi="Times New Roman CYR" w:cs="Times New Roman CYR"/>
                <w:sz w:val="24"/>
                <w:szCs w:val="24"/>
              </w:rPr>
              <w:t>3</w:t>
            </w:r>
          </w:p>
        </w:tc>
        <w:tc>
          <w:tcPr>
            <w:tcW w:w="2410" w:type="dxa"/>
            <w:tcBorders>
              <w:top w:val="dotted" w:sz="4" w:space="0" w:color="auto"/>
              <w:left w:val="double" w:sz="4" w:space="0" w:color="auto"/>
              <w:bottom w:val="dotted" w:sz="4" w:space="0" w:color="auto"/>
            </w:tcBorders>
            <w:shd w:val="clear" w:color="auto" w:fill="auto"/>
            <w:vAlign w:val="center"/>
          </w:tcPr>
          <w:p w:rsidR="007C50D0" w:rsidRPr="007C50D0" w:rsidRDefault="007C50D0" w:rsidP="008619A6">
            <w:pPr>
              <w:contextualSpacing/>
              <w:jc w:val="center"/>
              <w:rPr>
                <w:sz w:val="24"/>
                <w:szCs w:val="24"/>
              </w:rPr>
            </w:pPr>
            <w:proofErr w:type="spellStart"/>
            <w:r w:rsidRPr="007C50D0">
              <w:rPr>
                <w:sz w:val="24"/>
                <w:szCs w:val="24"/>
              </w:rPr>
              <w:t>Зеленодольский</w:t>
            </w:r>
            <w:proofErr w:type="spellEnd"/>
          </w:p>
        </w:tc>
        <w:tc>
          <w:tcPr>
            <w:tcW w:w="1985" w:type="dxa"/>
            <w:tcBorders>
              <w:top w:val="dotted" w:sz="4" w:space="0" w:color="auto"/>
              <w:bottom w:val="dotted"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16</w:t>
            </w:r>
          </w:p>
        </w:tc>
        <w:tc>
          <w:tcPr>
            <w:tcW w:w="2126" w:type="dxa"/>
            <w:tcBorders>
              <w:top w:val="dotted" w:sz="4" w:space="0" w:color="auto"/>
              <w:bottom w:val="dotted" w:sz="4" w:space="0" w:color="auto"/>
            </w:tcBorders>
            <w:shd w:val="clear" w:color="auto" w:fill="auto"/>
            <w:vAlign w:val="center"/>
          </w:tcPr>
          <w:p w:rsidR="007C50D0" w:rsidRPr="007C50D0" w:rsidRDefault="007C50D0" w:rsidP="008619A6">
            <w:pPr>
              <w:contextualSpacing/>
              <w:jc w:val="center"/>
              <w:rPr>
                <w:sz w:val="24"/>
                <w:szCs w:val="24"/>
              </w:rPr>
            </w:pPr>
            <w:proofErr w:type="spellStart"/>
            <w:r w:rsidRPr="007C50D0">
              <w:rPr>
                <w:sz w:val="24"/>
                <w:szCs w:val="24"/>
              </w:rPr>
              <w:t>Лениногорский</w:t>
            </w:r>
            <w:proofErr w:type="spellEnd"/>
          </w:p>
        </w:tc>
        <w:tc>
          <w:tcPr>
            <w:tcW w:w="2126" w:type="dxa"/>
            <w:tcBorders>
              <w:top w:val="dotted"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8</w:t>
            </w:r>
          </w:p>
        </w:tc>
      </w:tr>
      <w:tr w:rsidR="007C50D0" w:rsidRPr="007C50D0" w:rsidTr="000123D7">
        <w:trPr>
          <w:trHeight w:val="62"/>
        </w:trPr>
        <w:tc>
          <w:tcPr>
            <w:tcW w:w="567" w:type="dxa"/>
            <w:tcBorders>
              <w:top w:val="dotted"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sz w:val="22"/>
                <w:szCs w:val="22"/>
              </w:rPr>
            </w:pPr>
            <w:r w:rsidRPr="007C50D0">
              <w:rPr>
                <w:sz w:val="22"/>
                <w:szCs w:val="22"/>
              </w:rPr>
              <w:t>4</w:t>
            </w:r>
          </w:p>
        </w:tc>
        <w:tc>
          <w:tcPr>
            <w:tcW w:w="2410" w:type="dxa"/>
            <w:tcBorders>
              <w:top w:val="dotted" w:sz="4" w:space="0" w:color="auto"/>
              <w:left w:val="double" w:sz="4" w:space="0" w:color="auto"/>
              <w:bottom w:val="dotted"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Пестречинский</w:t>
            </w:r>
          </w:p>
        </w:tc>
        <w:tc>
          <w:tcPr>
            <w:tcW w:w="1985" w:type="dxa"/>
            <w:tcBorders>
              <w:top w:val="dotted" w:sz="4" w:space="0" w:color="auto"/>
              <w:bottom w:val="dotted"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13</w:t>
            </w:r>
          </w:p>
        </w:tc>
        <w:tc>
          <w:tcPr>
            <w:tcW w:w="2126" w:type="dxa"/>
            <w:tcBorders>
              <w:top w:val="dotted" w:sz="4" w:space="0" w:color="auto"/>
              <w:bottom w:val="dotted" w:sz="4" w:space="0" w:color="auto"/>
            </w:tcBorders>
            <w:shd w:val="clear" w:color="auto" w:fill="auto"/>
            <w:vAlign w:val="center"/>
          </w:tcPr>
          <w:p w:rsidR="007C50D0" w:rsidRPr="007C50D0" w:rsidRDefault="007C50D0" w:rsidP="008619A6">
            <w:pPr>
              <w:contextualSpacing/>
              <w:jc w:val="center"/>
              <w:rPr>
                <w:sz w:val="24"/>
                <w:szCs w:val="24"/>
              </w:rPr>
            </w:pPr>
            <w:proofErr w:type="spellStart"/>
            <w:r w:rsidRPr="007C50D0">
              <w:rPr>
                <w:sz w:val="24"/>
                <w:szCs w:val="24"/>
              </w:rPr>
              <w:t>Балтасинский</w:t>
            </w:r>
            <w:proofErr w:type="spellEnd"/>
          </w:p>
        </w:tc>
        <w:tc>
          <w:tcPr>
            <w:tcW w:w="2126" w:type="dxa"/>
            <w:tcBorders>
              <w:top w:val="dotted"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8</w:t>
            </w:r>
          </w:p>
        </w:tc>
      </w:tr>
      <w:tr w:rsidR="007C50D0" w:rsidRPr="007C50D0" w:rsidTr="000123D7">
        <w:trPr>
          <w:trHeight w:val="62"/>
        </w:trPr>
        <w:tc>
          <w:tcPr>
            <w:tcW w:w="567" w:type="dxa"/>
            <w:tcBorders>
              <w:top w:val="dotted" w:sz="4" w:space="0" w:color="auto"/>
              <w:left w:val="double"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sz w:val="22"/>
                <w:szCs w:val="22"/>
              </w:rPr>
            </w:pPr>
            <w:r w:rsidRPr="007C50D0">
              <w:rPr>
                <w:sz w:val="22"/>
                <w:szCs w:val="22"/>
              </w:rPr>
              <w:t>5</w:t>
            </w:r>
          </w:p>
        </w:tc>
        <w:tc>
          <w:tcPr>
            <w:tcW w:w="2410" w:type="dxa"/>
            <w:tcBorders>
              <w:top w:val="dotted" w:sz="4" w:space="0" w:color="auto"/>
              <w:left w:val="double" w:sz="4" w:space="0" w:color="auto"/>
              <w:bottom w:val="double" w:sz="4" w:space="0" w:color="auto"/>
            </w:tcBorders>
            <w:shd w:val="clear" w:color="auto" w:fill="auto"/>
            <w:vAlign w:val="center"/>
          </w:tcPr>
          <w:p w:rsidR="007C50D0" w:rsidRPr="007C50D0" w:rsidRDefault="007C50D0" w:rsidP="008619A6">
            <w:pPr>
              <w:contextualSpacing/>
              <w:jc w:val="center"/>
              <w:rPr>
                <w:sz w:val="24"/>
                <w:szCs w:val="24"/>
              </w:rPr>
            </w:pPr>
            <w:proofErr w:type="spellStart"/>
            <w:r w:rsidRPr="007C50D0">
              <w:rPr>
                <w:sz w:val="24"/>
                <w:szCs w:val="24"/>
              </w:rPr>
              <w:t>Азнакаевский</w:t>
            </w:r>
            <w:proofErr w:type="spellEnd"/>
          </w:p>
        </w:tc>
        <w:tc>
          <w:tcPr>
            <w:tcW w:w="1985" w:type="dxa"/>
            <w:tcBorders>
              <w:top w:val="dotted" w:sz="4" w:space="0" w:color="auto"/>
              <w:bottom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10</w:t>
            </w:r>
          </w:p>
        </w:tc>
        <w:tc>
          <w:tcPr>
            <w:tcW w:w="2126" w:type="dxa"/>
            <w:tcBorders>
              <w:top w:val="dotted" w:sz="4" w:space="0" w:color="auto"/>
              <w:bottom w:val="double" w:sz="4" w:space="0" w:color="auto"/>
            </w:tcBorders>
            <w:shd w:val="clear" w:color="auto" w:fill="auto"/>
            <w:vAlign w:val="center"/>
          </w:tcPr>
          <w:p w:rsidR="007C50D0" w:rsidRPr="007C50D0" w:rsidRDefault="007C50D0" w:rsidP="008619A6">
            <w:pPr>
              <w:contextualSpacing/>
              <w:jc w:val="center"/>
              <w:rPr>
                <w:sz w:val="24"/>
                <w:szCs w:val="24"/>
              </w:rPr>
            </w:pPr>
            <w:proofErr w:type="spellStart"/>
            <w:r w:rsidRPr="007C50D0">
              <w:rPr>
                <w:sz w:val="24"/>
                <w:szCs w:val="24"/>
              </w:rPr>
              <w:t>Тетюшский</w:t>
            </w:r>
            <w:proofErr w:type="spellEnd"/>
          </w:p>
        </w:tc>
        <w:tc>
          <w:tcPr>
            <w:tcW w:w="2126" w:type="dxa"/>
            <w:tcBorders>
              <w:top w:val="dotted"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7</w:t>
            </w:r>
          </w:p>
        </w:tc>
      </w:tr>
    </w:tbl>
    <w:p w:rsidR="000123D7" w:rsidRPr="007C50D0" w:rsidRDefault="000123D7" w:rsidP="000123D7">
      <w:pPr>
        <w:contextualSpacing/>
        <w:jc w:val="both"/>
        <w:rPr>
          <w:sz w:val="28"/>
          <w:szCs w:val="28"/>
        </w:rPr>
      </w:pPr>
      <w:r w:rsidRPr="007C50D0">
        <w:rPr>
          <w:sz w:val="28"/>
          <w:szCs w:val="28"/>
        </w:rPr>
        <w:lastRenderedPageBreak/>
        <w:t>В прошлом году доля таких дел составляла 1,3% от общего числа рассмотренных административных исков. Суды, в которых чаще всего нарушались процессуальные сроки, представлены в Таблице 2</w:t>
      </w:r>
      <w:r>
        <w:rPr>
          <w:sz w:val="28"/>
          <w:szCs w:val="28"/>
        </w:rPr>
        <w:t>8</w:t>
      </w:r>
      <w:r w:rsidRPr="007C50D0">
        <w:rPr>
          <w:sz w:val="28"/>
          <w:szCs w:val="28"/>
        </w:rPr>
        <w:t>.</w:t>
      </w:r>
    </w:p>
    <w:p w:rsidR="007C50D0" w:rsidRPr="007C50D0" w:rsidRDefault="007C50D0" w:rsidP="008619A6">
      <w:pPr>
        <w:ind w:firstLine="840"/>
        <w:contextualSpacing/>
        <w:jc w:val="both"/>
        <w:rPr>
          <w:sz w:val="28"/>
          <w:szCs w:val="28"/>
        </w:rPr>
      </w:pPr>
      <w:r w:rsidRPr="007C50D0">
        <w:rPr>
          <w:sz w:val="28"/>
          <w:szCs w:val="28"/>
        </w:rPr>
        <w:t>Районными (городскими) судами рассмотрено также 1085 материалов, связанных с исполнением решений судов и организацией административного судопроизводства.</w:t>
      </w:r>
    </w:p>
    <w:p w:rsidR="007C50D0" w:rsidRPr="007C50D0" w:rsidRDefault="007C50D0" w:rsidP="008619A6">
      <w:pPr>
        <w:ind w:firstLine="840"/>
        <w:contextualSpacing/>
        <w:jc w:val="both"/>
        <w:rPr>
          <w:sz w:val="28"/>
          <w:szCs w:val="28"/>
        </w:rPr>
      </w:pPr>
      <w:r w:rsidRPr="007C50D0">
        <w:rPr>
          <w:sz w:val="28"/>
          <w:szCs w:val="28"/>
        </w:rPr>
        <w:t>Вынесено 673 решения об отказе в приеме заявлений и жалоб на основании статьи 128 КАС РФ, а также 1729 решений о возвращении заявлений в соответствии с нормами статьи 129 КАС РФ. Аналогичные показатели 2016 года значительно превышают текущий уровень: в 1,6 раза и в 4,9 раза соответственно.</w:t>
      </w:r>
    </w:p>
    <w:p w:rsidR="007C50D0" w:rsidRPr="007C50D0" w:rsidRDefault="007C50D0" w:rsidP="008619A6">
      <w:pPr>
        <w:ind w:firstLine="840"/>
        <w:contextualSpacing/>
        <w:jc w:val="both"/>
        <w:rPr>
          <w:b/>
          <w:sz w:val="28"/>
          <w:szCs w:val="28"/>
          <w:u w:val="single"/>
        </w:rPr>
      </w:pPr>
      <w:r w:rsidRPr="007C50D0">
        <w:rPr>
          <w:b/>
          <w:sz w:val="28"/>
          <w:szCs w:val="28"/>
          <w:u w:val="single"/>
        </w:rPr>
        <w:t>Рассмотрение дел об административных правонарушениях</w:t>
      </w:r>
    </w:p>
    <w:p w:rsidR="007C50D0" w:rsidRPr="007C50D0" w:rsidRDefault="007C50D0" w:rsidP="008619A6">
      <w:pPr>
        <w:ind w:firstLine="840"/>
        <w:contextualSpacing/>
        <w:jc w:val="both"/>
        <w:rPr>
          <w:sz w:val="28"/>
          <w:szCs w:val="28"/>
        </w:rPr>
      </w:pPr>
      <w:r w:rsidRPr="007C50D0">
        <w:rPr>
          <w:sz w:val="28"/>
          <w:szCs w:val="28"/>
        </w:rPr>
        <w:t xml:space="preserve">Количество рассмотренных дел об административных правонарушениях в 2017 году по сравнению с 2016 годом увеличилось на 9,0% и составило 21469 дел. </w:t>
      </w:r>
    </w:p>
    <w:p w:rsidR="007C50D0" w:rsidRPr="007C50D0" w:rsidRDefault="007C50D0" w:rsidP="008619A6">
      <w:pPr>
        <w:ind w:firstLine="851"/>
        <w:contextualSpacing/>
        <w:jc w:val="both"/>
        <w:rPr>
          <w:sz w:val="28"/>
          <w:szCs w:val="28"/>
        </w:rPr>
      </w:pPr>
      <w:r w:rsidRPr="007C50D0">
        <w:rPr>
          <w:sz w:val="28"/>
          <w:szCs w:val="28"/>
        </w:rPr>
        <w:t>Наибольшее количество дел, связано с нарушениями:</w:t>
      </w:r>
    </w:p>
    <w:p w:rsidR="007C50D0" w:rsidRPr="007C50D0" w:rsidRDefault="007C50D0" w:rsidP="00335DC8">
      <w:pPr>
        <w:numPr>
          <w:ilvl w:val="0"/>
          <w:numId w:val="9"/>
        </w:numPr>
        <w:tabs>
          <w:tab w:val="num" w:pos="1080"/>
        </w:tabs>
        <w:contextualSpacing/>
        <w:jc w:val="both"/>
        <w:rPr>
          <w:sz w:val="28"/>
          <w:szCs w:val="28"/>
        </w:rPr>
      </w:pPr>
      <w:r w:rsidRPr="007C50D0">
        <w:rPr>
          <w:sz w:val="28"/>
          <w:szCs w:val="28"/>
        </w:rPr>
        <w:t>в области общественного порядка и общественной безопасности (глава 20 КоАП РФ) – 10289 дел (47,9% от общего количества рассмотренных дел);</w:t>
      </w:r>
    </w:p>
    <w:p w:rsidR="007C50D0" w:rsidRPr="007C50D0" w:rsidRDefault="007C50D0" w:rsidP="00335DC8">
      <w:pPr>
        <w:numPr>
          <w:ilvl w:val="0"/>
          <w:numId w:val="9"/>
        </w:numPr>
        <w:tabs>
          <w:tab w:val="num" w:pos="1080"/>
        </w:tabs>
        <w:contextualSpacing/>
        <w:jc w:val="both"/>
        <w:rPr>
          <w:sz w:val="28"/>
          <w:szCs w:val="28"/>
        </w:rPr>
      </w:pPr>
      <w:r w:rsidRPr="007C50D0">
        <w:rPr>
          <w:sz w:val="28"/>
          <w:szCs w:val="28"/>
        </w:rPr>
        <w:t>против порядка управления (глава 19 КоАП РФ) – 3376 дел (15,7% от общего количества рассмотренных дел);</w:t>
      </w:r>
    </w:p>
    <w:p w:rsidR="007C50D0" w:rsidRPr="007C50D0" w:rsidRDefault="007C50D0" w:rsidP="00335DC8">
      <w:pPr>
        <w:numPr>
          <w:ilvl w:val="0"/>
          <w:numId w:val="9"/>
        </w:numPr>
        <w:tabs>
          <w:tab w:val="num" w:pos="1080"/>
        </w:tabs>
        <w:contextualSpacing/>
        <w:jc w:val="both"/>
        <w:rPr>
          <w:sz w:val="28"/>
          <w:szCs w:val="28"/>
        </w:rPr>
      </w:pPr>
      <w:r w:rsidRPr="007C50D0">
        <w:rPr>
          <w:sz w:val="28"/>
          <w:szCs w:val="28"/>
        </w:rPr>
        <w:t>в области защиты государственной границы (глава 18 КоАП РФ) – 3414 дела, или 15,9%;</w:t>
      </w:r>
    </w:p>
    <w:p w:rsidR="007C50D0" w:rsidRPr="007C50D0" w:rsidRDefault="007C50D0" w:rsidP="00335DC8">
      <w:pPr>
        <w:numPr>
          <w:ilvl w:val="0"/>
          <w:numId w:val="9"/>
        </w:numPr>
        <w:tabs>
          <w:tab w:val="num" w:pos="1080"/>
        </w:tabs>
        <w:contextualSpacing/>
        <w:jc w:val="both"/>
        <w:rPr>
          <w:sz w:val="28"/>
          <w:szCs w:val="28"/>
        </w:rPr>
      </w:pPr>
      <w:r w:rsidRPr="007C50D0">
        <w:rPr>
          <w:sz w:val="28"/>
          <w:szCs w:val="28"/>
        </w:rPr>
        <w:t>посягающими на здоровье, санитарно-эпидемиологическое благополучие населения и общественную нравственность (глава 6 КоАП РФ) – 1984 дела, или 9,2% от рассмотренных дел.</w:t>
      </w:r>
    </w:p>
    <w:p w:rsidR="007C50D0" w:rsidRDefault="007C50D0" w:rsidP="008619A6">
      <w:pPr>
        <w:contextualSpacing/>
        <w:rPr>
          <w:sz w:val="24"/>
          <w:szCs w:val="24"/>
        </w:rPr>
      </w:pPr>
      <w:r w:rsidRPr="006C7CE1">
        <w:rPr>
          <w:sz w:val="24"/>
          <w:szCs w:val="24"/>
        </w:rPr>
        <w:t xml:space="preserve">                                                                                 </w:t>
      </w:r>
      <w:r w:rsidR="000123D7">
        <w:rPr>
          <w:sz w:val="24"/>
          <w:szCs w:val="24"/>
        </w:rPr>
        <w:t xml:space="preserve">                </w:t>
      </w:r>
      <w:r w:rsidRPr="006C7CE1">
        <w:rPr>
          <w:sz w:val="24"/>
          <w:szCs w:val="24"/>
        </w:rPr>
        <w:t xml:space="preserve">                         Диаграмма </w:t>
      </w:r>
      <w:r w:rsidR="006C7CE1" w:rsidRPr="006C7CE1">
        <w:rPr>
          <w:sz w:val="24"/>
          <w:szCs w:val="24"/>
        </w:rPr>
        <w:t>1</w:t>
      </w:r>
      <w:r w:rsidRPr="006C7CE1">
        <w:rPr>
          <w:sz w:val="24"/>
          <w:szCs w:val="24"/>
        </w:rPr>
        <w:t>8</w:t>
      </w:r>
    </w:p>
    <w:p w:rsidR="00554482" w:rsidRPr="006C7CE1" w:rsidRDefault="00554482" w:rsidP="00554482">
      <w:pPr>
        <w:contextualSpacing/>
        <w:jc w:val="center"/>
        <w:rPr>
          <w:sz w:val="24"/>
          <w:szCs w:val="24"/>
        </w:rPr>
      </w:pPr>
      <w:r>
        <w:rPr>
          <w:noProof/>
        </w:rPr>
        <w:drawing>
          <wp:inline distT="0" distB="0" distL="0" distR="0" wp14:anchorId="47768429" wp14:editId="4C0F1F62">
            <wp:extent cx="4992130" cy="2570205"/>
            <wp:effectExtent l="0" t="0" r="18415" b="2095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C50D0" w:rsidRPr="007C50D0" w:rsidRDefault="007C50D0" w:rsidP="008619A6">
      <w:pPr>
        <w:ind w:firstLine="720"/>
        <w:contextualSpacing/>
        <w:jc w:val="both"/>
        <w:rPr>
          <w:sz w:val="28"/>
          <w:szCs w:val="28"/>
        </w:rPr>
      </w:pPr>
      <w:r w:rsidRPr="007C50D0">
        <w:rPr>
          <w:sz w:val="28"/>
          <w:szCs w:val="28"/>
        </w:rPr>
        <w:t>Количество рассмотренных дел, связанных с правонарушениями в области общественного порядка и общественной безопасности, в 2017 году увеличилось</w:t>
      </w:r>
      <w:r w:rsidRPr="007C50D0">
        <w:rPr>
          <w:color w:val="0000FF"/>
          <w:sz w:val="28"/>
          <w:szCs w:val="28"/>
        </w:rPr>
        <w:t xml:space="preserve"> </w:t>
      </w:r>
      <w:r w:rsidRPr="007C50D0">
        <w:rPr>
          <w:sz w:val="28"/>
          <w:szCs w:val="28"/>
        </w:rPr>
        <w:t>на 6,1% по сравнению с прошлым годом.</w:t>
      </w:r>
      <w:r w:rsidRPr="007C50D0">
        <w:rPr>
          <w:color w:val="0000FF"/>
          <w:sz w:val="28"/>
          <w:szCs w:val="28"/>
        </w:rPr>
        <w:t xml:space="preserve"> </w:t>
      </w:r>
      <w:r w:rsidRPr="007C50D0">
        <w:rPr>
          <w:sz w:val="28"/>
          <w:szCs w:val="28"/>
        </w:rPr>
        <w:t xml:space="preserve">Наибольшее количество дел в этой группе – 96,7% –связано, как правило, с мелким хулиганством (статья 20.1 КоАП РФ). Обращает на себя внимание увеличение в 11 раз количества дел, связанных с нарушением </w:t>
      </w:r>
      <w:r w:rsidRPr="007C50D0">
        <w:rPr>
          <w:sz w:val="28"/>
          <w:szCs w:val="28"/>
        </w:rPr>
        <w:lastRenderedPageBreak/>
        <w:t xml:space="preserve">установленного порядка организации либо проведения собрания, митинга, демонстрации, шествия или пикетирования (статья 20.2 КоАП РФ). В 2017 году количество таких дел достигло 77. На 11,0% снизилось количество дел, возбужденных в связи с пропагандой и публичным демонстрированием нацистской атрибутики или символики. В 2017 году рассмотрено 124 </w:t>
      </w:r>
      <w:proofErr w:type="gramStart"/>
      <w:r w:rsidRPr="007C50D0">
        <w:rPr>
          <w:sz w:val="28"/>
          <w:szCs w:val="28"/>
        </w:rPr>
        <w:t>таких</w:t>
      </w:r>
      <w:proofErr w:type="gramEnd"/>
      <w:r w:rsidRPr="007C50D0">
        <w:rPr>
          <w:sz w:val="28"/>
          <w:szCs w:val="28"/>
        </w:rPr>
        <w:t xml:space="preserve"> дела. Наибольшее количество дел этой категории рассмотрено в Альметьевском городском суде — 30, </w:t>
      </w:r>
      <w:proofErr w:type="spellStart"/>
      <w:r w:rsidRPr="007C50D0">
        <w:rPr>
          <w:sz w:val="28"/>
          <w:szCs w:val="28"/>
        </w:rPr>
        <w:t>Набережночелнинском</w:t>
      </w:r>
      <w:proofErr w:type="spellEnd"/>
      <w:r w:rsidRPr="007C50D0">
        <w:rPr>
          <w:sz w:val="28"/>
          <w:szCs w:val="28"/>
        </w:rPr>
        <w:t xml:space="preserve"> – 21, </w:t>
      </w:r>
      <w:proofErr w:type="spellStart"/>
      <w:r w:rsidRPr="007C50D0">
        <w:rPr>
          <w:sz w:val="28"/>
          <w:szCs w:val="28"/>
        </w:rPr>
        <w:t>Бугульминском</w:t>
      </w:r>
      <w:proofErr w:type="spellEnd"/>
      <w:r w:rsidRPr="007C50D0">
        <w:rPr>
          <w:sz w:val="28"/>
          <w:szCs w:val="28"/>
        </w:rPr>
        <w:t xml:space="preserve"> – 11, Нижнекамском – 7, </w:t>
      </w:r>
      <w:proofErr w:type="spellStart"/>
      <w:r w:rsidRPr="007C50D0">
        <w:rPr>
          <w:sz w:val="28"/>
          <w:szCs w:val="28"/>
        </w:rPr>
        <w:t>Вахитовском</w:t>
      </w:r>
      <w:proofErr w:type="spellEnd"/>
      <w:r w:rsidRPr="007C50D0">
        <w:rPr>
          <w:sz w:val="28"/>
          <w:szCs w:val="28"/>
        </w:rPr>
        <w:t xml:space="preserve"> </w:t>
      </w:r>
      <w:r w:rsidR="00554482">
        <w:rPr>
          <w:sz w:val="28"/>
          <w:szCs w:val="28"/>
        </w:rPr>
        <w:t xml:space="preserve"> </w:t>
      </w:r>
      <w:r w:rsidRPr="007C50D0">
        <w:rPr>
          <w:sz w:val="28"/>
          <w:szCs w:val="28"/>
        </w:rPr>
        <w:t>районном суде города Казани – 6.</w:t>
      </w:r>
    </w:p>
    <w:p w:rsidR="007C50D0" w:rsidRPr="007C50D0" w:rsidRDefault="007C50D0" w:rsidP="008619A6">
      <w:pPr>
        <w:autoSpaceDE w:val="0"/>
        <w:autoSpaceDN w:val="0"/>
        <w:adjustRightInd w:val="0"/>
        <w:ind w:firstLine="540"/>
        <w:contextualSpacing/>
        <w:jc w:val="both"/>
        <w:rPr>
          <w:sz w:val="28"/>
          <w:szCs w:val="28"/>
        </w:rPr>
      </w:pPr>
      <w:r w:rsidRPr="007C50D0">
        <w:rPr>
          <w:sz w:val="28"/>
          <w:szCs w:val="28"/>
        </w:rPr>
        <w:t>Количество рассмотренных дел, связанных с правонарушениями,</w:t>
      </w:r>
      <w:r w:rsidRPr="007C50D0">
        <w:rPr>
          <w:color w:val="0000FF"/>
          <w:sz w:val="28"/>
          <w:szCs w:val="28"/>
        </w:rPr>
        <w:t xml:space="preserve"> </w:t>
      </w:r>
      <w:r w:rsidRPr="007C50D0">
        <w:rPr>
          <w:sz w:val="28"/>
          <w:szCs w:val="28"/>
        </w:rPr>
        <w:t>посягающими на здоровье, санитарно-эпидемиологическое благополучие населения и общественную нравственность, в 2017 году увеличилось в 2 раза по сравнению с прошлым годом.</w:t>
      </w:r>
      <w:r w:rsidRPr="007C50D0">
        <w:rPr>
          <w:color w:val="0000FF"/>
          <w:sz w:val="28"/>
          <w:szCs w:val="28"/>
        </w:rPr>
        <w:t xml:space="preserve"> </w:t>
      </w:r>
      <w:r w:rsidRPr="007C50D0">
        <w:rPr>
          <w:sz w:val="28"/>
          <w:szCs w:val="28"/>
        </w:rPr>
        <w:t xml:space="preserve">Наибольшее количество дел в этой группе — 1984 — связано с побоями – ст. 6.1.1 КоАП РФ (введена Федеральным </w:t>
      </w:r>
      <w:hyperlink r:id="rId41" w:history="1">
        <w:r w:rsidRPr="007C50D0">
          <w:rPr>
            <w:sz w:val="28"/>
            <w:szCs w:val="28"/>
          </w:rPr>
          <w:t>законом</w:t>
        </w:r>
      </w:hyperlink>
      <w:r w:rsidRPr="007C50D0">
        <w:rPr>
          <w:sz w:val="28"/>
          <w:szCs w:val="28"/>
        </w:rPr>
        <w:t xml:space="preserve"> от 03.07.2016 № 326-ФЗ). Вместе с этим увеличилось в 1,5 раза количество дел, связанных с незаконным оборотом и потреблением наркотиков, а также уклонением от диагностики и лечения наркомании (ст. 6.8, 6.9, 6.9.1 КоАП РФ). </w:t>
      </w:r>
    </w:p>
    <w:p w:rsidR="007C50D0" w:rsidRPr="007C50D0" w:rsidRDefault="007C50D0" w:rsidP="008619A6">
      <w:pPr>
        <w:autoSpaceDE w:val="0"/>
        <w:autoSpaceDN w:val="0"/>
        <w:adjustRightInd w:val="0"/>
        <w:ind w:firstLine="540"/>
        <w:contextualSpacing/>
        <w:jc w:val="both"/>
        <w:rPr>
          <w:sz w:val="28"/>
          <w:szCs w:val="28"/>
        </w:rPr>
      </w:pPr>
      <w:r w:rsidRPr="007C50D0">
        <w:rPr>
          <w:sz w:val="28"/>
          <w:szCs w:val="28"/>
        </w:rPr>
        <w:t>Увеличилось на 10,0% количество дел по правонарушениям, связанным с неповиновением законному распоряжению представителя правоохранительных органов. В 2017 году это 3176 рассмотренных дел. В связи с этим наблюдается увеличение (+ 7,9%) общего количества дел по правонарушениям против порядка управления (глава 19 КоАП РФ). Увеличение количества дел данной категории стабильно на протяжении всего интервала пятилетнего наблюдения.</w:t>
      </w:r>
    </w:p>
    <w:p w:rsidR="007C50D0" w:rsidRPr="007C50D0" w:rsidRDefault="007C50D0" w:rsidP="008619A6">
      <w:pPr>
        <w:autoSpaceDE w:val="0"/>
        <w:autoSpaceDN w:val="0"/>
        <w:adjustRightInd w:val="0"/>
        <w:ind w:firstLine="540"/>
        <w:contextualSpacing/>
        <w:jc w:val="both"/>
        <w:rPr>
          <w:sz w:val="28"/>
          <w:szCs w:val="28"/>
        </w:rPr>
      </w:pPr>
      <w:r w:rsidRPr="007C50D0">
        <w:rPr>
          <w:sz w:val="28"/>
          <w:szCs w:val="28"/>
        </w:rPr>
        <w:t>Количество рассмотренных дел, связанных с правонарушениями в области защиты государственной границы и порядка пребывания на территории РФ (глава 18 КоАП РФ), в 2017 году уменьшилось на 1,9%. Значительно уменьшилось (-30%) количество дел, связанных с незаконным привлечением к трудовой деятельности иностранных граждан или лиц без гражданства. Вместе с этим на 12,6% увеличилось количество дел, связанных с нарушением правил въезда и режима пребывания на территории РФ.</w:t>
      </w:r>
    </w:p>
    <w:p w:rsidR="007C50D0" w:rsidRPr="007C50D0" w:rsidRDefault="007C50D0" w:rsidP="008619A6">
      <w:pPr>
        <w:autoSpaceDE w:val="0"/>
        <w:autoSpaceDN w:val="0"/>
        <w:adjustRightInd w:val="0"/>
        <w:ind w:firstLine="540"/>
        <w:contextualSpacing/>
        <w:jc w:val="both"/>
        <w:rPr>
          <w:sz w:val="28"/>
          <w:szCs w:val="28"/>
        </w:rPr>
      </w:pPr>
      <w:r w:rsidRPr="007C50D0">
        <w:rPr>
          <w:sz w:val="28"/>
          <w:szCs w:val="28"/>
        </w:rPr>
        <w:t xml:space="preserve">Таблица 21 демонстрирует сложившиеся за последние пять лет </w:t>
      </w:r>
      <w:proofErr w:type="gramStart"/>
      <w:r w:rsidRPr="007C50D0">
        <w:rPr>
          <w:sz w:val="28"/>
          <w:szCs w:val="28"/>
        </w:rPr>
        <w:t>тенденции роста количества дел отдельных категорий</w:t>
      </w:r>
      <w:proofErr w:type="gramEnd"/>
      <w:r w:rsidRPr="007C50D0">
        <w:rPr>
          <w:sz w:val="28"/>
          <w:szCs w:val="28"/>
        </w:rPr>
        <w:t>.</w:t>
      </w:r>
    </w:p>
    <w:p w:rsidR="007C50D0" w:rsidRPr="007C50D0" w:rsidRDefault="007C50D0" w:rsidP="008619A6">
      <w:pPr>
        <w:ind w:firstLine="900"/>
        <w:contextualSpacing/>
        <w:jc w:val="center"/>
        <w:rPr>
          <w:sz w:val="24"/>
          <w:szCs w:val="24"/>
        </w:rPr>
      </w:pPr>
      <w:r w:rsidRPr="007C50D0">
        <w:rPr>
          <w:sz w:val="24"/>
          <w:szCs w:val="24"/>
        </w:rPr>
        <w:t xml:space="preserve">                                                                  </w:t>
      </w:r>
      <w:r w:rsidR="00554482">
        <w:rPr>
          <w:sz w:val="24"/>
          <w:szCs w:val="24"/>
        </w:rPr>
        <w:t xml:space="preserve">           </w:t>
      </w:r>
      <w:r w:rsidRPr="007C50D0">
        <w:rPr>
          <w:sz w:val="24"/>
          <w:szCs w:val="24"/>
        </w:rPr>
        <w:t xml:space="preserve">                                   Таблица 2</w:t>
      </w:r>
      <w:r w:rsidR="006C7CE1">
        <w:rPr>
          <w:sz w:val="24"/>
          <w:szCs w:val="24"/>
        </w:rPr>
        <w:t>9</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827"/>
        <w:gridCol w:w="850"/>
        <w:gridCol w:w="851"/>
        <w:gridCol w:w="850"/>
        <w:gridCol w:w="709"/>
      </w:tblGrid>
      <w:tr w:rsidR="007C50D0" w:rsidRPr="007C50D0" w:rsidTr="007C50D0">
        <w:trPr>
          <w:trHeight w:val="249"/>
        </w:trPr>
        <w:tc>
          <w:tcPr>
            <w:tcW w:w="9474" w:type="dxa"/>
            <w:gridSpan w:val="6"/>
            <w:tcBorders>
              <w:top w:val="doub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Динамика рассмотрения отдельных категорий дел об административных правонарушениях</w:t>
            </w:r>
          </w:p>
        </w:tc>
      </w:tr>
      <w:tr w:rsidR="007C50D0" w:rsidRPr="007C50D0" w:rsidTr="007C50D0">
        <w:trPr>
          <w:trHeight w:val="284"/>
        </w:trPr>
        <w:tc>
          <w:tcPr>
            <w:tcW w:w="5387" w:type="dxa"/>
            <w:tcBorders>
              <w:left w:val="doub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p>
        </w:tc>
        <w:tc>
          <w:tcPr>
            <w:tcW w:w="827"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850"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851"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850"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709" w:type="dxa"/>
            <w:tcBorders>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7C50D0">
        <w:trPr>
          <w:trHeight w:val="19"/>
        </w:trPr>
        <w:tc>
          <w:tcPr>
            <w:tcW w:w="5387" w:type="dxa"/>
            <w:tcBorders>
              <w:top w:val="thickThinLargeGap" w:sz="24" w:space="0" w:color="auto"/>
              <w:left w:val="double" w:sz="4" w:space="0" w:color="auto"/>
              <w:bottom w:val="single" w:sz="4" w:space="0" w:color="auto"/>
              <w:right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Ст. 6.8, 6.9, 6.9.1, 6.13, 6.16, 6.16.1 КоАП РФ</w:t>
            </w:r>
          </w:p>
        </w:tc>
        <w:tc>
          <w:tcPr>
            <w:tcW w:w="827"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81</w:t>
            </w:r>
          </w:p>
        </w:tc>
        <w:tc>
          <w:tcPr>
            <w:tcW w:w="850"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146</w:t>
            </w:r>
          </w:p>
        </w:tc>
        <w:tc>
          <w:tcPr>
            <w:tcW w:w="851"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74</w:t>
            </w:r>
          </w:p>
        </w:tc>
        <w:tc>
          <w:tcPr>
            <w:tcW w:w="850" w:type="dxa"/>
            <w:tcBorders>
              <w:top w:val="thickThinLargeGap" w:sz="2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186</w:t>
            </w:r>
          </w:p>
        </w:tc>
        <w:tc>
          <w:tcPr>
            <w:tcW w:w="709" w:type="dxa"/>
            <w:tcBorders>
              <w:top w:val="thickThinLargeGap" w:sz="24" w:space="0" w:color="auto"/>
              <w:left w:val="single" w:sz="4" w:space="0" w:color="auto"/>
              <w:bottom w:val="single" w:sz="4" w:space="0" w:color="auto"/>
              <w:right w:val="double" w:sz="4" w:space="0" w:color="auto"/>
            </w:tcBorders>
            <w:vAlign w:val="center"/>
          </w:tcPr>
          <w:p w:rsidR="007C50D0" w:rsidRPr="007C50D0" w:rsidRDefault="007C50D0" w:rsidP="008619A6">
            <w:pPr>
              <w:contextualSpacing/>
              <w:jc w:val="center"/>
              <w:rPr>
                <w:i/>
                <w:sz w:val="22"/>
                <w:szCs w:val="22"/>
              </w:rPr>
            </w:pPr>
            <w:r w:rsidRPr="007C50D0">
              <w:rPr>
                <w:i/>
                <w:sz w:val="22"/>
                <w:szCs w:val="22"/>
              </w:rPr>
              <w:t>323</w:t>
            </w:r>
          </w:p>
        </w:tc>
      </w:tr>
      <w:tr w:rsidR="007C50D0" w:rsidRPr="007C50D0" w:rsidTr="007C50D0">
        <w:trPr>
          <w:trHeight w:val="231"/>
        </w:trPr>
        <w:tc>
          <w:tcPr>
            <w:tcW w:w="5387" w:type="dxa"/>
            <w:tcBorders>
              <w:top w:val="single" w:sz="4" w:space="0" w:color="auto"/>
              <w:left w:val="double" w:sz="4" w:space="0" w:color="auto"/>
              <w:bottom w:val="single" w:sz="4" w:space="0" w:color="auto"/>
              <w:right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Ст. 18,8 КоАП РФ</w:t>
            </w:r>
          </w:p>
        </w:tc>
        <w:tc>
          <w:tcPr>
            <w:tcW w:w="827"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1494</w:t>
            </w:r>
          </w:p>
        </w:tc>
        <w:tc>
          <w:tcPr>
            <w:tcW w:w="85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1889</w:t>
            </w:r>
          </w:p>
        </w:tc>
        <w:tc>
          <w:tcPr>
            <w:tcW w:w="851"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2034</w:t>
            </w:r>
          </w:p>
        </w:tc>
        <w:tc>
          <w:tcPr>
            <w:tcW w:w="85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2234</w:t>
            </w:r>
          </w:p>
        </w:tc>
        <w:tc>
          <w:tcPr>
            <w:tcW w:w="709" w:type="dxa"/>
            <w:tcBorders>
              <w:top w:val="single" w:sz="4" w:space="0" w:color="auto"/>
              <w:left w:val="single" w:sz="4" w:space="0" w:color="auto"/>
              <w:bottom w:val="single" w:sz="4" w:space="0" w:color="auto"/>
              <w:right w:val="double" w:sz="4" w:space="0" w:color="auto"/>
            </w:tcBorders>
            <w:vAlign w:val="center"/>
          </w:tcPr>
          <w:p w:rsidR="007C50D0" w:rsidRPr="007C50D0" w:rsidRDefault="007C50D0" w:rsidP="008619A6">
            <w:pPr>
              <w:contextualSpacing/>
              <w:jc w:val="center"/>
              <w:rPr>
                <w:i/>
                <w:sz w:val="22"/>
                <w:szCs w:val="22"/>
              </w:rPr>
            </w:pPr>
            <w:r w:rsidRPr="007C50D0">
              <w:rPr>
                <w:i/>
                <w:sz w:val="22"/>
                <w:szCs w:val="22"/>
              </w:rPr>
              <w:t>2516</w:t>
            </w:r>
          </w:p>
        </w:tc>
      </w:tr>
      <w:tr w:rsidR="007C50D0" w:rsidRPr="007C50D0" w:rsidTr="007C50D0">
        <w:trPr>
          <w:trHeight w:val="209"/>
        </w:trPr>
        <w:tc>
          <w:tcPr>
            <w:tcW w:w="5387" w:type="dxa"/>
            <w:tcBorders>
              <w:top w:val="single" w:sz="4" w:space="0" w:color="auto"/>
              <w:left w:val="double" w:sz="4" w:space="0" w:color="auto"/>
              <w:bottom w:val="double" w:sz="4" w:space="0" w:color="auto"/>
              <w:right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Ст. 19.3 КоАП РФ</w:t>
            </w:r>
          </w:p>
        </w:tc>
        <w:tc>
          <w:tcPr>
            <w:tcW w:w="827"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2106</w:t>
            </w:r>
          </w:p>
        </w:tc>
        <w:tc>
          <w:tcPr>
            <w:tcW w:w="850"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2540</w:t>
            </w:r>
          </w:p>
        </w:tc>
        <w:tc>
          <w:tcPr>
            <w:tcW w:w="851"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2724</w:t>
            </w:r>
          </w:p>
        </w:tc>
        <w:tc>
          <w:tcPr>
            <w:tcW w:w="850"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2886</w:t>
            </w:r>
          </w:p>
        </w:tc>
        <w:tc>
          <w:tcPr>
            <w:tcW w:w="709" w:type="dxa"/>
            <w:tcBorders>
              <w:top w:val="single" w:sz="4" w:space="0" w:color="auto"/>
              <w:left w:val="single" w:sz="4" w:space="0" w:color="auto"/>
              <w:bottom w:val="double" w:sz="4" w:space="0" w:color="auto"/>
              <w:right w:val="double" w:sz="4" w:space="0" w:color="auto"/>
            </w:tcBorders>
            <w:vAlign w:val="center"/>
          </w:tcPr>
          <w:p w:rsidR="007C50D0" w:rsidRPr="007C50D0" w:rsidRDefault="007C50D0" w:rsidP="008619A6">
            <w:pPr>
              <w:contextualSpacing/>
              <w:jc w:val="center"/>
              <w:rPr>
                <w:i/>
                <w:sz w:val="22"/>
                <w:szCs w:val="22"/>
              </w:rPr>
            </w:pPr>
            <w:r w:rsidRPr="007C50D0">
              <w:rPr>
                <w:i/>
                <w:sz w:val="22"/>
                <w:szCs w:val="22"/>
              </w:rPr>
              <w:t>3176</w:t>
            </w:r>
          </w:p>
        </w:tc>
      </w:tr>
    </w:tbl>
    <w:p w:rsidR="007C50D0" w:rsidRPr="007C50D0" w:rsidRDefault="007C50D0" w:rsidP="008619A6">
      <w:pPr>
        <w:ind w:firstLine="709"/>
        <w:contextualSpacing/>
        <w:jc w:val="both"/>
        <w:rPr>
          <w:bCs/>
          <w:sz w:val="28"/>
          <w:szCs w:val="28"/>
        </w:rPr>
      </w:pPr>
      <w:r w:rsidRPr="007C50D0">
        <w:rPr>
          <w:bCs/>
          <w:sz w:val="28"/>
          <w:szCs w:val="28"/>
        </w:rPr>
        <w:t>Вместе с этим  в 2017 году уменьшилось количество дел, связанных:</w:t>
      </w:r>
    </w:p>
    <w:p w:rsidR="007C50D0" w:rsidRPr="00554482" w:rsidRDefault="007C50D0" w:rsidP="00335DC8">
      <w:pPr>
        <w:pStyle w:val="ab"/>
        <w:numPr>
          <w:ilvl w:val="0"/>
          <w:numId w:val="9"/>
        </w:numPr>
        <w:jc w:val="both"/>
        <w:rPr>
          <w:bCs/>
          <w:sz w:val="28"/>
          <w:szCs w:val="28"/>
        </w:rPr>
      </w:pPr>
      <w:r w:rsidRPr="00554482">
        <w:rPr>
          <w:bCs/>
          <w:sz w:val="28"/>
          <w:szCs w:val="28"/>
        </w:rPr>
        <w:t xml:space="preserve">с правонарушениями в области таможенного дела: количество таких дел уменьшилось на 8%, в основном за счет дел, связанных с не декларированием </w:t>
      </w:r>
      <w:r w:rsidRPr="00554482">
        <w:rPr>
          <w:bCs/>
          <w:sz w:val="28"/>
          <w:szCs w:val="28"/>
        </w:rPr>
        <w:lastRenderedPageBreak/>
        <w:t>либо недостоверным декларированием товаров и (или) транспортных средств (статья 16.2 КоАП РФ);</w:t>
      </w:r>
    </w:p>
    <w:p w:rsidR="007C50D0" w:rsidRPr="00554482" w:rsidRDefault="007C50D0" w:rsidP="00335DC8">
      <w:pPr>
        <w:pStyle w:val="ab"/>
        <w:numPr>
          <w:ilvl w:val="0"/>
          <w:numId w:val="9"/>
        </w:numPr>
        <w:jc w:val="both"/>
        <w:rPr>
          <w:bCs/>
          <w:sz w:val="28"/>
          <w:szCs w:val="28"/>
        </w:rPr>
      </w:pPr>
      <w:r w:rsidRPr="00554482">
        <w:rPr>
          <w:bCs/>
          <w:sz w:val="28"/>
          <w:szCs w:val="28"/>
        </w:rPr>
        <w:t xml:space="preserve">с </w:t>
      </w:r>
      <w:r w:rsidRPr="00554482">
        <w:rPr>
          <w:sz w:val="28"/>
          <w:szCs w:val="28"/>
        </w:rPr>
        <w:t>правонарушениями в области финансов, налогов и сборов, страхования, рынка ценных бумаг</w:t>
      </w:r>
      <w:r w:rsidRPr="00554482">
        <w:rPr>
          <w:sz w:val="24"/>
          <w:szCs w:val="24"/>
        </w:rPr>
        <w:t xml:space="preserve">. </w:t>
      </w:r>
      <w:proofErr w:type="gramStart"/>
      <w:r w:rsidRPr="00554482">
        <w:rPr>
          <w:sz w:val="28"/>
          <w:szCs w:val="28"/>
        </w:rPr>
        <w:t>В 2017 году уменьшение составило 18,4%, что обусловлено значительным уменьшением дел – на 14,8% –  о выпуске или продажа товаров и продукции без соответствующей маркировки и (или) информации, а также с нарушением установленного порядка нанесения такой маркировки и (или) информации (статья 15.12 КоАП РФ;</w:t>
      </w:r>
      <w:proofErr w:type="gramEnd"/>
    </w:p>
    <w:p w:rsidR="007C50D0" w:rsidRPr="00554482" w:rsidRDefault="007C50D0" w:rsidP="00335DC8">
      <w:pPr>
        <w:pStyle w:val="ab"/>
        <w:numPr>
          <w:ilvl w:val="0"/>
          <w:numId w:val="9"/>
        </w:numPr>
        <w:jc w:val="both"/>
        <w:rPr>
          <w:bCs/>
          <w:sz w:val="28"/>
          <w:szCs w:val="28"/>
        </w:rPr>
      </w:pPr>
      <w:r w:rsidRPr="00554482">
        <w:rPr>
          <w:bCs/>
          <w:sz w:val="28"/>
          <w:szCs w:val="28"/>
        </w:rPr>
        <w:t>с правонарушениями в области дорожного движения.</w:t>
      </w:r>
      <w:r w:rsidRPr="00554482">
        <w:rPr>
          <w:sz w:val="28"/>
          <w:szCs w:val="28"/>
        </w:rPr>
        <w:t xml:space="preserve"> Общее количество дел</w:t>
      </w:r>
      <w:r w:rsidRPr="00554482">
        <w:rPr>
          <w:bCs/>
          <w:color w:val="0000FF"/>
          <w:sz w:val="28"/>
          <w:szCs w:val="28"/>
        </w:rPr>
        <w:t xml:space="preserve"> </w:t>
      </w:r>
      <w:r w:rsidRPr="00554482">
        <w:rPr>
          <w:sz w:val="28"/>
          <w:szCs w:val="28"/>
        </w:rPr>
        <w:t>уменьшилось на 1,3% и составило 1179. Количество дел, связанных с управлением транспортного средства в состоянии опьянения, уменьшилось на 28,1</w:t>
      </w:r>
      <w:r w:rsidRPr="00554482">
        <w:rPr>
          <w:bCs/>
          <w:sz w:val="28"/>
          <w:szCs w:val="28"/>
        </w:rPr>
        <w:t>% по отношению к 2016 году. Основную же массу – 86,2%– в группе этих дел по-прежнему составляют дела о нарушении правил дорожного движения или правил эксплуатации транспортного средства, повлекших причинение легкого или средней тяжести вреда здоровью потерпевшего (статья 12.24 КоАП РФ). По отношению к 2016 году уменьшение незначительно и составляет 0,2%. Однако в пределах пятилетнего интервала наблюдения сохраняется тенденция к уменьшению количества таких дел.</w:t>
      </w:r>
    </w:p>
    <w:p w:rsidR="007C50D0" w:rsidRPr="007C50D0" w:rsidRDefault="007C50D0" w:rsidP="008619A6">
      <w:pPr>
        <w:ind w:firstLine="709"/>
        <w:contextualSpacing/>
        <w:jc w:val="both"/>
        <w:rPr>
          <w:bCs/>
          <w:sz w:val="28"/>
          <w:szCs w:val="28"/>
        </w:rPr>
      </w:pPr>
      <w:r w:rsidRPr="007C50D0">
        <w:rPr>
          <w:bCs/>
          <w:sz w:val="28"/>
          <w:szCs w:val="28"/>
        </w:rPr>
        <w:t>В Таблице 22 представлены категории административных дел, количество которых имеет вектор отрицательной направленности.</w:t>
      </w:r>
    </w:p>
    <w:p w:rsidR="007C50D0" w:rsidRPr="007C50D0" w:rsidRDefault="007C50D0" w:rsidP="008619A6">
      <w:pPr>
        <w:ind w:firstLine="900"/>
        <w:contextualSpacing/>
        <w:jc w:val="center"/>
        <w:rPr>
          <w:sz w:val="24"/>
          <w:szCs w:val="24"/>
        </w:rPr>
      </w:pPr>
      <w:r w:rsidRPr="007C50D0">
        <w:rPr>
          <w:sz w:val="24"/>
          <w:szCs w:val="24"/>
        </w:rPr>
        <w:t xml:space="preserve">                                                                                                     Таблица </w:t>
      </w:r>
      <w:r w:rsidR="006C7CE1">
        <w:rPr>
          <w:sz w:val="24"/>
          <w:szCs w:val="24"/>
        </w:rPr>
        <w:t>30</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827"/>
        <w:gridCol w:w="850"/>
        <w:gridCol w:w="851"/>
        <w:gridCol w:w="850"/>
        <w:gridCol w:w="709"/>
      </w:tblGrid>
      <w:tr w:rsidR="007C50D0" w:rsidRPr="007C50D0" w:rsidTr="007C50D0">
        <w:trPr>
          <w:trHeight w:val="251"/>
        </w:trPr>
        <w:tc>
          <w:tcPr>
            <w:tcW w:w="9474" w:type="dxa"/>
            <w:gridSpan w:val="6"/>
            <w:tcBorders>
              <w:top w:val="doub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Динамика рассмотрения отдельных категорий дел об административных правонарушениях</w:t>
            </w:r>
          </w:p>
        </w:tc>
      </w:tr>
      <w:tr w:rsidR="007C50D0" w:rsidRPr="007C50D0" w:rsidTr="007C50D0">
        <w:trPr>
          <w:trHeight w:val="62"/>
        </w:trPr>
        <w:tc>
          <w:tcPr>
            <w:tcW w:w="5387" w:type="dxa"/>
            <w:tcBorders>
              <w:left w:val="doub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p>
        </w:tc>
        <w:tc>
          <w:tcPr>
            <w:tcW w:w="827"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850"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851"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850"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709" w:type="dxa"/>
            <w:tcBorders>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7C50D0">
        <w:trPr>
          <w:trHeight w:val="33"/>
        </w:trPr>
        <w:tc>
          <w:tcPr>
            <w:tcW w:w="5387" w:type="dxa"/>
            <w:tcBorders>
              <w:top w:val="single" w:sz="4" w:space="0" w:color="auto"/>
              <w:left w:val="double" w:sz="4" w:space="0" w:color="auto"/>
              <w:bottom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Ст. 12.8 КоАП РФ</w:t>
            </w:r>
          </w:p>
        </w:tc>
        <w:tc>
          <w:tcPr>
            <w:tcW w:w="827" w:type="dxa"/>
            <w:tcBorders>
              <w:top w:val="single" w:sz="4" w:space="0" w:color="auto"/>
              <w:bottom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71</w:t>
            </w:r>
          </w:p>
        </w:tc>
        <w:tc>
          <w:tcPr>
            <w:tcW w:w="850" w:type="dxa"/>
            <w:tcBorders>
              <w:top w:val="single" w:sz="4" w:space="0" w:color="auto"/>
              <w:bottom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75</w:t>
            </w:r>
          </w:p>
        </w:tc>
        <w:tc>
          <w:tcPr>
            <w:tcW w:w="851" w:type="dxa"/>
            <w:tcBorders>
              <w:top w:val="single" w:sz="4" w:space="0" w:color="auto"/>
              <w:bottom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53</w:t>
            </w:r>
          </w:p>
        </w:tc>
        <w:tc>
          <w:tcPr>
            <w:tcW w:w="850" w:type="dxa"/>
            <w:tcBorders>
              <w:top w:val="single" w:sz="4" w:space="0" w:color="auto"/>
              <w:bottom w:val="single" w:sz="4" w:space="0" w:color="auto"/>
            </w:tcBorders>
            <w:vAlign w:val="center"/>
          </w:tcPr>
          <w:p w:rsidR="007C50D0" w:rsidRPr="007C50D0" w:rsidRDefault="007C50D0" w:rsidP="008619A6">
            <w:pPr>
              <w:contextualSpacing/>
              <w:jc w:val="center"/>
              <w:rPr>
                <w:i/>
                <w:sz w:val="24"/>
                <w:szCs w:val="24"/>
              </w:rPr>
            </w:pPr>
            <w:r w:rsidRPr="007C50D0">
              <w:rPr>
                <w:i/>
                <w:sz w:val="24"/>
                <w:szCs w:val="24"/>
              </w:rPr>
              <w:t>57</w:t>
            </w:r>
          </w:p>
        </w:tc>
        <w:tc>
          <w:tcPr>
            <w:tcW w:w="709" w:type="dxa"/>
            <w:tcBorders>
              <w:top w:val="single" w:sz="4" w:space="0" w:color="auto"/>
              <w:bottom w:val="single" w:sz="4" w:space="0" w:color="auto"/>
              <w:right w:val="double" w:sz="4" w:space="0" w:color="auto"/>
            </w:tcBorders>
            <w:vAlign w:val="center"/>
          </w:tcPr>
          <w:p w:rsidR="007C50D0" w:rsidRPr="007C50D0" w:rsidRDefault="007C50D0" w:rsidP="008619A6">
            <w:pPr>
              <w:contextualSpacing/>
              <w:jc w:val="center"/>
              <w:rPr>
                <w:i/>
                <w:sz w:val="24"/>
                <w:szCs w:val="24"/>
              </w:rPr>
            </w:pPr>
            <w:r w:rsidRPr="007C50D0">
              <w:rPr>
                <w:i/>
                <w:sz w:val="24"/>
                <w:szCs w:val="24"/>
              </w:rPr>
              <w:t>41</w:t>
            </w:r>
          </w:p>
        </w:tc>
      </w:tr>
      <w:tr w:rsidR="007C50D0" w:rsidRPr="007C50D0" w:rsidTr="007C50D0">
        <w:trPr>
          <w:trHeight w:val="62"/>
        </w:trPr>
        <w:tc>
          <w:tcPr>
            <w:tcW w:w="5387" w:type="dxa"/>
            <w:tcBorders>
              <w:top w:val="single" w:sz="4" w:space="0" w:color="auto"/>
              <w:left w:val="double" w:sz="4" w:space="0" w:color="auto"/>
              <w:bottom w:val="single" w:sz="4" w:space="0" w:color="auto"/>
              <w:right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Ст. 12.24 КоАП РФ</w:t>
            </w:r>
          </w:p>
        </w:tc>
        <w:tc>
          <w:tcPr>
            <w:tcW w:w="827"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951</w:t>
            </w:r>
          </w:p>
        </w:tc>
        <w:tc>
          <w:tcPr>
            <w:tcW w:w="85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1031</w:t>
            </w:r>
          </w:p>
        </w:tc>
        <w:tc>
          <w:tcPr>
            <w:tcW w:w="851"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1052</w:t>
            </w:r>
          </w:p>
        </w:tc>
        <w:tc>
          <w:tcPr>
            <w:tcW w:w="85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1018</w:t>
            </w:r>
          </w:p>
        </w:tc>
        <w:tc>
          <w:tcPr>
            <w:tcW w:w="709" w:type="dxa"/>
            <w:tcBorders>
              <w:top w:val="single" w:sz="4" w:space="0" w:color="auto"/>
              <w:left w:val="single" w:sz="4" w:space="0" w:color="auto"/>
              <w:bottom w:val="single" w:sz="4" w:space="0" w:color="auto"/>
              <w:right w:val="double" w:sz="4" w:space="0" w:color="auto"/>
            </w:tcBorders>
            <w:vAlign w:val="center"/>
          </w:tcPr>
          <w:p w:rsidR="007C50D0" w:rsidRPr="007C50D0" w:rsidRDefault="007C50D0" w:rsidP="008619A6">
            <w:pPr>
              <w:contextualSpacing/>
              <w:jc w:val="center"/>
              <w:rPr>
                <w:i/>
                <w:sz w:val="22"/>
                <w:szCs w:val="22"/>
              </w:rPr>
            </w:pPr>
            <w:r w:rsidRPr="007C50D0">
              <w:rPr>
                <w:i/>
                <w:sz w:val="22"/>
                <w:szCs w:val="22"/>
              </w:rPr>
              <w:t>1016</w:t>
            </w:r>
          </w:p>
        </w:tc>
      </w:tr>
      <w:tr w:rsidR="007C50D0" w:rsidRPr="007C50D0" w:rsidTr="007C50D0">
        <w:trPr>
          <w:trHeight w:val="62"/>
        </w:trPr>
        <w:tc>
          <w:tcPr>
            <w:tcW w:w="5387" w:type="dxa"/>
            <w:tcBorders>
              <w:top w:val="single" w:sz="4" w:space="0" w:color="auto"/>
              <w:left w:val="double" w:sz="4" w:space="0" w:color="auto"/>
              <w:bottom w:val="single" w:sz="4" w:space="0" w:color="auto"/>
              <w:right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Ст. 16.2 КоАП РФ</w:t>
            </w:r>
          </w:p>
        </w:tc>
        <w:tc>
          <w:tcPr>
            <w:tcW w:w="827"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472</w:t>
            </w:r>
          </w:p>
        </w:tc>
        <w:tc>
          <w:tcPr>
            <w:tcW w:w="85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260</w:t>
            </w:r>
          </w:p>
        </w:tc>
        <w:tc>
          <w:tcPr>
            <w:tcW w:w="851"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334</w:t>
            </w:r>
          </w:p>
        </w:tc>
        <w:tc>
          <w:tcPr>
            <w:tcW w:w="85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120</w:t>
            </w:r>
          </w:p>
        </w:tc>
        <w:tc>
          <w:tcPr>
            <w:tcW w:w="709" w:type="dxa"/>
            <w:tcBorders>
              <w:top w:val="single" w:sz="4" w:space="0" w:color="auto"/>
              <w:left w:val="single" w:sz="4" w:space="0" w:color="auto"/>
              <w:bottom w:val="single" w:sz="4" w:space="0" w:color="auto"/>
              <w:right w:val="double" w:sz="4" w:space="0" w:color="auto"/>
            </w:tcBorders>
            <w:vAlign w:val="center"/>
          </w:tcPr>
          <w:p w:rsidR="007C50D0" w:rsidRPr="007C50D0" w:rsidRDefault="007C50D0" w:rsidP="008619A6">
            <w:pPr>
              <w:contextualSpacing/>
              <w:jc w:val="center"/>
              <w:rPr>
                <w:i/>
                <w:sz w:val="22"/>
                <w:szCs w:val="22"/>
              </w:rPr>
            </w:pPr>
            <w:r w:rsidRPr="007C50D0">
              <w:rPr>
                <w:i/>
                <w:sz w:val="22"/>
                <w:szCs w:val="22"/>
              </w:rPr>
              <w:t>112</w:t>
            </w:r>
          </w:p>
        </w:tc>
      </w:tr>
      <w:tr w:rsidR="007C50D0" w:rsidRPr="007C50D0" w:rsidTr="007C50D0">
        <w:trPr>
          <w:trHeight w:val="62"/>
        </w:trPr>
        <w:tc>
          <w:tcPr>
            <w:tcW w:w="5387" w:type="dxa"/>
            <w:tcBorders>
              <w:top w:val="single" w:sz="4" w:space="0" w:color="auto"/>
              <w:left w:val="double" w:sz="4" w:space="0" w:color="auto"/>
              <w:bottom w:val="single" w:sz="4" w:space="0" w:color="auto"/>
              <w:right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Ст. 15.12 КоАП РФ</w:t>
            </w:r>
          </w:p>
        </w:tc>
        <w:tc>
          <w:tcPr>
            <w:tcW w:w="827"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88</w:t>
            </w:r>
          </w:p>
        </w:tc>
        <w:tc>
          <w:tcPr>
            <w:tcW w:w="851"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314</w:t>
            </w:r>
          </w:p>
        </w:tc>
        <w:tc>
          <w:tcPr>
            <w:tcW w:w="850" w:type="dxa"/>
            <w:tcBorders>
              <w:top w:val="single" w:sz="4" w:space="0" w:color="auto"/>
              <w:left w:val="single" w:sz="4" w:space="0" w:color="auto"/>
              <w:bottom w:val="sing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304</w:t>
            </w:r>
          </w:p>
        </w:tc>
        <w:tc>
          <w:tcPr>
            <w:tcW w:w="709" w:type="dxa"/>
            <w:tcBorders>
              <w:top w:val="single" w:sz="4" w:space="0" w:color="auto"/>
              <w:left w:val="single" w:sz="4" w:space="0" w:color="auto"/>
              <w:bottom w:val="single" w:sz="4" w:space="0" w:color="auto"/>
              <w:right w:val="double" w:sz="4" w:space="0" w:color="auto"/>
            </w:tcBorders>
            <w:vAlign w:val="center"/>
          </w:tcPr>
          <w:p w:rsidR="007C50D0" w:rsidRPr="007C50D0" w:rsidRDefault="007C50D0" w:rsidP="008619A6">
            <w:pPr>
              <w:contextualSpacing/>
              <w:jc w:val="center"/>
              <w:rPr>
                <w:i/>
                <w:sz w:val="22"/>
                <w:szCs w:val="22"/>
              </w:rPr>
            </w:pPr>
            <w:r w:rsidRPr="007C50D0">
              <w:rPr>
                <w:i/>
                <w:sz w:val="22"/>
                <w:szCs w:val="22"/>
              </w:rPr>
              <w:t>259</w:t>
            </w:r>
          </w:p>
        </w:tc>
      </w:tr>
      <w:tr w:rsidR="007C50D0" w:rsidRPr="007C50D0" w:rsidTr="007C50D0">
        <w:trPr>
          <w:trHeight w:val="62"/>
        </w:trPr>
        <w:tc>
          <w:tcPr>
            <w:tcW w:w="5387" w:type="dxa"/>
            <w:tcBorders>
              <w:top w:val="single" w:sz="4" w:space="0" w:color="auto"/>
              <w:left w:val="double" w:sz="4" w:space="0" w:color="auto"/>
              <w:bottom w:val="double" w:sz="4" w:space="0" w:color="auto"/>
              <w:right w:val="single" w:sz="4" w:space="0" w:color="auto"/>
            </w:tcBorders>
            <w:vAlign w:val="center"/>
          </w:tcPr>
          <w:p w:rsidR="007C50D0" w:rsidRPr="007C50D0" w:rsidRDefault="007C50D0" w:rsidP="008619A6">
            <w:pPr>
              <w:contextualSpacing/>
              <w:jc w:val="center"/>
              <w:rPr>
                <w:b/>
                <w:sz w:val="24"/>
                <w:szCs w:val="24"/>
              </w:rPr>
            </w:pPr>
            <w:r w:rsidRPr="007C50D0">
              <w:rPr>
                <w:b/>
                <w:sz w:val="24"/>
                <w:szCs w:val="24"/>
              </w:rPr>
              <w:t>Ст. 20.1 КоАП РФ</w:t>
            </w:r>
          </w:p>
        </w:tc>
        <w:tc>
          <w:tcPr>
            <w:tcW w:w="827"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10651</w:t>
            </w:r>
          </w:p>
        </w:tc>
        <w:tc>
          <w:tcPr>
            <w:tcW w:w="850"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10964</w:t>
            </w:r>
          </w:p>
        </w:tc>
        <w:tc>
          <w:tcPr>
            <w:tcW w:w="851"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9111</w:t>
            </w:r>
          </w:p>
        </w:tc>
        <w:tc>
          <w:tcPr>
            <w:tcW w:w="850" w:type="dxa"/>
            <w:tcBorders>
              <w:top w:val="single" w:sz="4" w:space="0" w:color="auto"/>
              <w:left w:val="single" w:sz="4" w:space="0" w:color="auto"/>
              <w:bottom w:val="double" w:sz="4" w:space="0" w:color="auto"/>
              <w:right w:val="single" w:sz="4" w:space="0" w:color="auto"/>
            </w:tcBorders>
            <w:vAlign w:val="center"/>
          </w:tcPr>
          <w:p w:rsidR="007C50D0" w:rsidRPr="007C50D0" w:rsidRDefault="007C50D0" w:rsidP="008619A6">
            <w:pPr>
              <w:contextualSpacing/>
              <w:jc w:val="center"/>
              <w:rPr>
                <w:i/>
                <w:sz w:val="22"/>
                <w:szCs w:val="22"/>
              </w:rPr>
            </w:pPr>
            <w:r w:rsidRPr="007C50D0">
              <w:rPr>
                <w:i/>
                <w:sz w:val="22"/>
                <w:szCs w:val="22"/>
              </w:rPr>
              <w:t>9345</w:t>
            </w:r>
          </w:p>
        </w:tc>
        <w:tc>
          <w:tcPr>
            <w:tcW w:w="709" w:type="dxa"/>
            <w:tcBorders>
              <w:top w:val="single" w:sz="4" w:space="0" w:color="auto"/>
              <w:left w:val="single" w:sz="4" w:space="0" w:color="auto"/>
              <w:bottom w:val="double" w:sz="4" w:space="0" w:color="auto"/>
              <w:right w:val="double" w:sz="4" w:space="0" w:color="auto"/>
            </w:tcBorders>
            <w:vAlign w:val="center"/>
          </w:tcPr>
          <w:p w:rsidR="007C50D0" w:rsidRPr="007C50D0" w:rsidRDefault="007C50D0" w:rsidP="008619A6">
            <w:pPr>
              <w:contextualSpacing/>
              <w:jc w:val="center"/>
              <w:rPr>
                <w:i/>
                <w:sz w:val="22"/>
                <w:szCs w:val="22"/>
              </w:rPr>
            </w:pPr>
            <w:r w:rsidRPr="007C50D0">
              <w:rPr>
                <w:i/>
                <w:sz w:val="22"/>
                <w:szCs w:val="22"/>
              </w:rPr>
              <w:t>9947</w:t>
            </w:r>
          </w:p>
        </w:tc>
      </w:tr>
    </w:tbl>
    <w:p w:rsidR="007C50D0" w:rsidRPr="007C50D0" w:rsidRDefault="007C50D0" w:rsidP="008619A6">
      <w:pPr>
        <w:ind w:firstLine="709"/>
        <w:contextualSpacing/>
        <w:jc w:val="both"/>
        <w:rPr>
          <w:bCs/>
          <w:sz w:val="28"/>
          <w:szCs w:val="28"/>
        </w:rPr>
      </w:pPr>
      <w:r w:rsidRPr="007C50D0">
        <w:rPr>
          <w:bCs/>
          <w:sz w:val="28"/>
          <w:szCs w:val="28"/>
        </w:rPr>
        <w:t>Несмотря на то, что количество дел, связанных с мелким хулиганством (статья 20.1 КоАП РФ) в 2017 году увеличилось на 6,4%, тенденция их уменьшения за последние пять лет не изменилась.</w:t>
      </w:r>
    </w:p>
    <w:p w:rsidR="007C50D0" w:rsidRPr="007C50D0" w:rsidRDefault="007C50D0" w:rsidP="008619A6">
      <w:pPr>
        <w:ind w:firstLine="960"/>
        <w:contextualSpacing/>
        <w:jc w:val="both"/>
        <w:rPr>
          <w:bCs/>
          <w:sz w:val="28"/>
          <w:szCs w:val="28"/>
        </w:rPr>
      </w:pPr>
      <w:r w:rsidRPr="007C50D0">
        <w:rPr>
          <w:bCs/>
          <w:sz w:val="28"/>
          <w:szCs w:val="28"/>
          <w:u w:val="single"/>
        </w:rPr>
        <w:t>Результаты рассмотрения дел об административных правонарушениях</w:t>
      </w:r>
      <w:r w:rsidRPr="007C50D0">
        <w:rPr>
          <w:bCs/>
          <w:sz w:val="28"/>
          <w:szCs w:val="28"/>
        </w:rPr>
        <w:t xml:space="preserve"> в 2017 году характеризуются следующими показателями.</w:t>
      </w:r>
    </w:p>
    <w:p w:rsidR="007C50D0" w:rsidRPr="007C50D0" w:rsidRDefault="007C50D0" w:rsidP="008619A6">
      <w:pPr>
        <w:ind w:firstLine="960"/>
        <w:contextualSpacing/>
        <w:jc w:val="both"/>
        <w:rPr>
          <w:bCs/>
          <w:sz w:val="28"/>
          <w:szCs w:val="28"/>
        </w:rPr>
      </w:pPr>
      <w:r w:rsidRPr="007C50D0">
        <w:rPr>
          <w:bCs/>
          <w:sz w:val="28"/>
          <w:szCs w:val="28"/>
        </w:rPr>
        <w:t>87.9% дел окончено с вынесением решения о применении административного наказания, к административной ответственности привлечено 18866 лиц. Это на 4.1% больше, чем в 2016 году.</w:t>
      </w:r>
    </w:p>
    <w:p w:rsidR="007C50D0" w:rsidRPr="007C50D0" w:rsidRDefault="007C50D0" w:rsidP="008619A6">
      <w:pPr>
        <w:ind w:firstLine="960"/>
        <w:contextualSpacing/>
        <w:jc w:val="both"/>
        <w:rPr>
          <w:bCs/>
          <w:sz w:val="28"/>
          <w:szCs w:val="28"/>
        </w:rPr>
      </w:pPr>
      <w:r w:rsidRPr="007C50D0">
        <w:rPr>
          <w:bCs/>
          <w:sz w:val="28"/>
          <w:szCs w:val="28"/>
        </w:rPr>
        <w:t>Рассмотрение незначительного количества дел (3.4%), как и в прошлом отчетном периоде, было прекращено (2,3% - в 2016 году).</w:t>
      </w:r>
    </w:p>
    <w:p w:rsidR="007C50D0" w:rsidRPr="007C50D0" w:rsidRDefault="007C50D0" w:rsidP="008619A6">
      <w:pPr>
        <w:ind w:firstLine="960"/>
        <w:contextualSpacing/>
        <w:jc w:val="both"/>
        <w:rPr>
          <w:bCs/>
          <w:sz w:val="28"/>
          <w:szCs w:val="28"/>
        </w:rPr>
      </w:pPr>
      <w:r w:rsidRPr="007C50D0">
        <w:rPr>
          <w:bCs/>
          <w:sz w:val="28"/>
          <w:szCs w:val="28"/>
        </w:rPr>
        <w:t>К лицам, привлеченным к административной ответственности, чаще всего применялись следующие основные меры наказания:</w:t>
      </w:r>
    </w:p>
    <w:p w:rsidR="007C50D0" w:rsidRPr="007C50D0" w:rsidRDefault="007C50D0" w:rsidP="00335DC8">
      <w:pPr>
        <w:numPr>
          <w:ilvl w:val="0"/>
          <w:numId w:val="12"/>
        </w:numPr>
        <w:contextualSpacing/>
        <w:jc w:val="both"/>
        <w:rPr>
          <w:sz w:val="28"/>
          <w:szCs w:val="28"/>
        </w:rPr>
      </w:pPr>
      <w:r w:rsidRPr="007C50D0">
        <w:rPr>
          <w:sz w:val="28"/>
          <w:szCs w:val="28"/>
        </w:rPr>
        <w:t>штраф – 60.4% лиц, что на 8,8% больше уровня прошлого года;</w:t>
      </w:r>
    </w:p>
    <w:p w:rsidR="007C50D0" w:rsidRPr="007C50D0" w:rsidRDefault="007C50D0" w:rsidP="00335DC8">
      <w:pPr>
        <w:numPr>
          <w:ilvl w:val="0"/>
          <w:numId w:val="12"/>
        </w:numPr>
        <w:contextualSpacing/>
        <w:jc w:val="both"/>
        <w:rPr>
          <w:sz w:val="28"/>
          <w:szCs w:val="28"/>
        </w:rPr>
      </w:pPr>
      <w:r w:rsidRPr="007C50D0">
        <w:rPr>
          <w:sz w:val="28"/>
          <w:szCs w:val="28"/>
        </w:rPr>
        <w:t xml:space="preserve">административный арест – 33,6% лиц – сохранен уровень прошлого года; </w:t>
      </w:r>
    </w:p>
    <w:p w:rsidR="007C50D0" w:rsidRPr="007C50D0" w:rsidRDefault="007C50D0" w:rsidP="00335DC8">
      <w:pPr>
        <w:numPr>
          <w:ilvl w:val="0"/>
          <w:numId w:val="12"/>
        </w:numPr>
        <w:contextualSpacing/>
        <w:jc w:val="both"/>
        <w:rPr>
          <w:sz w:val="28"/>
          <w:szCs w:val="28"/>
        </w:rPr>
      </w:pPr>
      <w:r w:rsidRPr="007C50D0">
        <w:rPr>
          <w:sz w:val="28"/>
          <w:szCs w:val="28"/>
        </w:rPr>
        <w:t>приостановление деятельности – 3,3% лиц, – это в 1.9 раза меньше, чем в 2016 году;</w:t>
      </w:r>
    </w:p>
    <w:p w:rsidR="007C50D0" w:rsidRPr="007C50D0" w:rsidRDefault="007C50D0" w:rsidP="00335DC8">
      <w:pPr>
        <w:numPr>
          <w:ilvl w:val="0"/>
          <w:numId w:val="12"/>
        </w:numPr>
        <w:contextualSpacing/>
        <w:jc w:val="both"/>
        <w:rPr>
          <w:bCs/>
          <w:sz w:val="28"/>
          <w:szCs w:val="28"/>
        </w:rPr>
      </w:pPr>
      <w:r w:rsidRPr="007C50D0">
        <w:rPr>
          <w:sz w:val="28"/>
          <w:szCs w:val="28"/>
        </w:rPr>
        <w:lastRenderedPageBreak/>
        <w:t>лишение специального права – 1,5% лиц – сохранен уровень прошлого года.</w:t>
      </w:r>
    </w:p>
    <w:p w:rsidR="007C50D0" w:rsidRPr="007C50D0" w:rsidRDefault="007C50D0" w:rsidP="008619A6">
      <w:pPr>
        <w:ind w:firstLine="960"/>
        <w:contextualSpacing/>
        <w:jc w:val="both"/>
        <w:rPr>
          <w:bCs/>
          <w:sz w:val="28"/>
          <w:szCs w:val="28"/>
        </w:rPr>
      </w:pPr>
      <w:r w:rsidRPr="007C50D0">
        <w:rPr>
          <w:bCs/>
          <w:sz w:val="28"/>
          <w:szCs w:val="28"/>
        </w:rPr>
        <w:t>Вместе с этим обращает на себя внимание динамика применения таких основных видов наказания как конфискация имущества, предупреждение и обязательные работы. За последние пять лет сложились определенные тенденции.</w:t>
      </w:r>
    </w:p>
    <w:p w:rsidR="007C50D0" w:rsidRPr="007C50D0" w:rsidRDefault="007C50D0" w:rsidP="008619A6">
      <w:pPr>
        <w:ind w:firstLine="960"/>
        <w:contextualSpacing/>
        <w:jc w:val="both"/>
        <w:rPr>
          <w:bCs/>
          <w:sz w:val="28"/>
          <w:szCs w:val="28"/>
        </w:rPr>
      </w:pPr>
      <w:r w:rsidRPr="007C50D0">
        <w:rPr>
          <w:bCs/>
          <w:sz w:val="28"/>
          <w:szCs w:val="28"/>
        </w:rPr>
        <w:t>К конфискации  в 2017 году привлечено на 7,8% меньше правонарушителей, чем в 2016, и в 4,9 раза меньше, чем в 2013 году. Применение этой меры наказания стабильно уменьшается.</w:t>
      </w:r>
    </w:p>
    <w:p w:rsidR="007C50D0" w:rsidRPr="007C50D0" w:rsidRDefault="007C50D0" w:rsidP="008619A6">
      <w:pPr>
        <w:ind w:firstLine="960"/>
        <w:contextualSpacing/>
        <w:jc w:val="both"/>
        <w:rPr>
          <w:bCs/>
          <w:sz w:val="28"/>
          <w:szCs w:val="28"/>
        </w:rPr>
      </w:pPr>
      <w:r w:rsidRPr="007C50D0">
        <w:rPr>
          <w:bCs/>
          <w:sz w:val="28"/>
          <w:szCs w:val="28"/>
        </w:rPr>
        <w:t>К обязательным работам в 2017 году привлечено в 6,4 раза больше лиц, чем в прошлом, и в 16 раз больше, чем в 2013 году. Применение этой меры наказания стабильно увеличивается.</w:t>
      </w:r>
    </w:p>
    <w:p w:rsidR="007C50D0" w:rsidRPr="007C50D0" w:rsidRDefault="007C50D0" w:rsidP="008619A6">
      <w:pPr>
        <w:ind w:firstLine="960"/>
        <w:contextualSpacing/>
        <w:jc w:val="both"/>
        <w:rPr>
          <w:bCs/>
          <w:sz w:val="28"/>
          <w:szCs w:val="28"/>
        </w:rPr>
      </w:pPr>
      <w:r w:rsidRPr="007C50D0">
        <w:rPr>
          <w:bCs/>
          <w:sz w:val="28"/>
          <w:szCs w:val="28"/>
        </w:rPr>
        <w:t>Письменное предупреждение выносилось как основная мера наказания в 2,4 раза чаще, чем в 2016 году и в 1,5 раза чаще, чем в 2013. Тенденция увеличения применения этой меры подтверждается методом статистического анализа.</w:t>
      </w:r>
    </w:p>
    <w:p w:rsidR="007C50D0" w:rsidRPr="00554482" w:rsidRDefault="007C50D0" w:rsidP="008619A6">
      <w:pPr>
        <w:ind w:left="360"/>
        <w:contextualSpacing/>
        <w:jc w:val="both"/>
        <w:rPr>
          <w:sz w:val="24"/>
          <w:szCs w:val="24"/>
        </w:rPr>
      </w:pPr>
      <w:r w:rsidRPr="00554482">
        <w:rPr>
          <w:sz w:val="24"/>
          <w:szCs w:val="24"/>
        </w:rPr>
        <w:t xml:space="preserve">                                                                                                               Диаграмма </w:t>
      </w:r>
      <w:r w:rsidR="006C7CE1" w:rsidRPr="00554482">
        <w:rPr>
          <w:sz w:val="24"/>
          <w:szCs w:val="24"/>
        </w:rPr>
        <w:t>1</w:t>
      </w:r>
      <w:r w:rsidRPr="00554482">
        <w:rPr>
          <w:sz w:val="24"/>
          <w:szCs w:val="24"/>
        </w:rPr>
        <w:t>9</w:t>
      </w:r>
    </w:p>
    <w:p w:rsidR="007C50D0" w:rsidRPr="00554482" w:rsidRDefault="007C50D0" w:rsidP="008619A6">
      <w:pPr>
        <w:ind w:left="360"/>
        <w:contextualSpacing/>
        <w:jc w:val="both"/>
        <w:rPr>
          <w:sz w:val="24"/>
          <w:szCs w:val="24"/>
        </w:rPr>
      </w:pPr>
      <w:r w:rsidRPr="00554482">
        <w:rPr>
          <w:noProof/>
          <w:sz w:val="24"/>
          <w:szCs w:val="24"/>
        </w:rPr>
        <w:drawing>
          <wp:inline distT="0" distB="0" distL="0" distR="0" wp14:anchorId="134B624F" wp14:editId="4E0737E1">
            <wp:extent cx="4999990" cy="2602865"/>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99990" cy="2602865"/>
                    </a:xfrm>
                    <a:prstGeom prst="rect">
                      <a:avLst/>
                    </a:prstGeom>
                    <a:noFill/>
                  </pic:spPr>
                </pic:pic>
              </a:graphicData>
            </a:graphic>
          </wp:inline>
        </w:drawing>
      </w:r>
    </w:p>
    <w:p w:rsidR="007C50D0" w:rsidRPr="007C50D0" w:rsidRDefault="00FD6EC4" w:rsidP="008619A6">
      <w:pPr>
        <w:ind w:firstLine="960"/>
        <w:contextualSpacing/>
        <w:jc w:val="both"/>
        <w:rPr>
          <w:bCs/>
          <w:sz w:val="28"/>
          <w:szCs w:val="28"/>
        </w:rPr>
      </w:pPr>
      <w:r>
        <w:rPr>
          <w:bCs/>
          <w:sz w:val="28"/>
          <w:szCs w:val="28"/>
        </w:rPr>
        <w:t>В Таблице 31 представлены наиболее часто применяемые основные меры административного наказания</w:t>
      </w:r>
      <w:r w:rsidR="007C50D0" w:rsidRPr="007C50D0">
        <w:rPr>
          <w:bCs/>
          <w:sz w:val="28"/>
          <w:szCs w:val="28"/>
        </w:rPr>
        <w:t xml:space="preserve"> </w:t>
      </w:r>
    </w:p>
    <w:p w:rsidR="007C50D0" w:rsidRPr="007C50D0" w:rsidRDefault="007C50D0" w:rsidP="008619A6">
      <w:pPr>
        <w:ind w:left="240" w:firstLine="660"/>
        <w:contextualSpacing/>
        <w:jc w:val="both"/>
        <w:rPr>
          <w:sz w:val="24"/>
          <w:szCs w:val="24"/>
        </w:rPr>
      </w:pPr>
      <w:r w:rsidRPr="007C50D0">
        <w:rPr>
          <w:sz w:val="24"/>
          <w:szCs w:val="24"/>
        </w:rPr>
        <w:t xml:space="preserve">                                                                                                                       Таблица 3</w:t>
      </w:r>
      <w:r w:rsidR="006C7CE1">
        <w:rPr>
          <w:sz w:val="24"/>
          <w:szCs w:val="24"/>
        </w:rPr>
        <w:t>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850"/>
        <w:gridCol w:w="851"/>
        <w:gridCol w:w="992"/>
        <w:gridCol w:w="851"/>
        <w:gridCol w:w="850"/>
      </w:tblGrid>
      <w:tr w:rsidR="007C50D0" w:rsidRPr="007C50D0" w:rsidTr="00FD6EC4">
        <w:trPr>
          <w:trHeight w:val="52"/>
        </w:trPr>
        <w:tc>
          <w:tcPr>
            <w:tcW w:w="9214" w:type="dxa"/>
            <w:gridSpan w:val="6"/>
            <w:tcBorders>
              <w:top w:val="doub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Динамика  применения основных мер наказания</w:t>
            </w:r>
          </w:p>
        </w:tc>
      </w:tr>
      <w:tr w:rsidR="007C50D0" w:rsidRPr="007C50D0" w:rsidTr="00FD6EC4">
        <w:trPr>
          <w:trHeight w:val="62"/>
        </w:trPr>
        <w:tc>
          <w:tcPr>
            <w:tcW w:w="4820" w:type="dxa"/>
            <w:tcBorders>
              <w:left w:val="double" w:sz="4" w:space="0" w:color="auto"/>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p>
        </w:tc>
        <w:tc>
          <w:tcPr>
            <w:tcW w:w="850"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851"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992" w:type="dxa"/>
            <w:tcBorders>
              <w:bottom w:val="thickThinLargeGap" w:sz="2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851" w:type="dxa"/>
            <w:tcBorders>
              <w:bottom w:val="thickThinLargeGap" w:sz="24" w:space="0" w:color="auto"/>
              <w:right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850" w:type="dxa"/>
            <w:tcBorders>
              <w:left w:val="single" w:sz="4" w:space="0" w:color="auto"/>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FD6EC4">
        <w:trPr>
          <w:trHeight w:val="98"/>
        </w:trPr>
        <w:tc>
          <w:tcPr>
            <w:tcW w:w="4820" w:type="dxa"/>
            <w:tcBorders>
              <w:top w:val="thickThinLargeGap" w:sz="24" w:space="0" w:color="auto"/>
              <w:left w:val="double" w:sz="4" w:space="0" w:color="auto"/>
              <w:bottom w:val="double" w:sz="4" w:space="0" w:color="auto"/>
            </w:tcBorders>
            <w:shd w:val="clear" w:color="auto" w:fill="auto"/>
            <w:vAlign w:val="center"/>
          </w:tcPr>
          <w:p w:rsidR="007C50D0" w:rsidRPr="007C50D0" w:rsidRDefault="007C50D0" w:rsidP="008619A6">
            <w:pPr>
              <w:tabs>
                <w:tab w:val="left" w:pos="2490"/>
              </w:tabs>
              <w:contextualSpacing/>
              <w:jc w:val="center"/>
              <w:rPr>
                <w:b/>
                <w:sz w:val="24"/>
                <w:szCs w:val="24"/>
              </w:rPr>
            </w:pPr>
            <w:r w:rsidRPr="007C50D0">
              <w:rPr>
                <w:b/>
                <w:sz w:val="24"/>
                <w:szCs w:val="24"/>
              </w:rPr>
              <w:t>Кол-во оконченных дел</w:t>
            </w:r>
          </w:p>
        </w:tc>
        <w:tc>
          <w:tcPr>
            <w:tcW w:w="850" w:type="dxa"/>
            <w:tcBorders>
              <w:top w:val="thickThinLargeGap" w:sz="24" w:space="0" w:color="auto"/>
              <w:bottom w:val="double" w:sz="4" w:space="0" w:color="auto"/>
            </w:tcBorders>
            <w:shd w:val="clear" w:color="auto" w:fill="auto"/>
            <w:vAlign w:val="center"/>
          </w:tcPr>
          <w:p w:rsidR="007C50D0" w:rsidRPr="007C50D0" w:rsidRDefault="007C50D0" w:rsidP="008619A6">
            <w:pPr>
              <w:contextualSpacing/>
              <w:jc w:val="center"/>
              <w:rPr>
                <w:rFonts w:ascii="Arial CYR" w:hAnsi="Arial CYR" w:cs="Arial CYR"/>
                <w:b/>
              </w:rPr>
            </w:pPr>
            <w:r w:rsidRPr="007C50D0">
              <w:rPr>
                <w:rFonts w:ascii="Arial CYR" w:hAnsi="Arial CYR" w:cs="Arial CYR"/>
                <w:b/>
              </w:rPr>
              <w:t>18456</w:t>
            </w:r>
          </w:p>
        </w:tc>
        <w:tc>
          <w:tcPr>
            <w:tcW w:w="851" w:type="dxa"/>
            <w:tcBorders>
              <w:top w:val="thickThinLargeGap" w:sz="24" w:space="0" w:color="auto"/>
              <w:bottom w:val="double" w:sz="4" w:space="0" w:color="auto"/>
            </w:tcBorders>
            <w:shd w:val="clear" w:color="auto" w:fill="auto"/>
            <w:vAlign w:val="center"/>
          </w:tcPr>
          <w:p w:rsidR="007C50D0" w:rsidRPr="007C50D0" w:rsidRDefault="007C50D0" w:rsidP="008619A6">
            <w:pPr>
              <w:contextualSpacing/>
              <w:jc w:val="center"/>
              <w:rPr>
                <w:rFonts w:ascii="Arial CYR" w:hAnsi="Arial CYR" w:cs="Arial CYR"/>
                <w:b/>
              </w:rPr>
            </w:pPr>
            <w:r w:rsidRPr="007C50D0">
              <w:rPr>
                <w:rFonts w:ascii="Arial CYR" w:hAnsi="Arial CYR" w:cs="Arial CYR"/>
                <w:b/>
              </w:rPr>
              <w:t>19562</w:t>
            </w:r>
          </w:p>
        </w:tc>
        <w:tc>
          <w:tcPr>
            <w:tcW w:w="992" w:type="dxa"/>
            <w:tcBorders>
              <w:top w:val="thickThinLargeGap" w:sz="24" w:space="0" w:color="auto"/>
              <w:bottom w:val="double" w:sz="4" w:space="0" w:color="auto"/>
            </w:tcBorders>
            <w:shd w:val="clear" w:color="auto" w:fill="auto"/>
            <w:vAlign w:val="center"/>
          </w:tcPr>
          <w:p w:rsidR="007C50D0" w:rsidRPr="007C50D0" w:rsidRDefault="007C50D0" w:rsidP="008619A6">
            <w:pPr>
              <w:contextualSpacing/>
              <w:jc w:val="center"/>
              <w:rPr>
                <w:rFonts w:ascii="Arial CYR" w:hAnsi="Arial CYR" w:cs="Arial CYR"/>
                <w:b/>
              </w:rPr>
            </w:pPr>
            <w:r w:rsidRPr="007C50D0">
              <w:rPr>
                <w:rFonts w:ascii="Arial CYR" w:hAnsi="Arial CYR" w:cs="Arial CYR"/>
                <w:b/>
              </w:rPr>
              <w:t>18178</w:t>
            </w:r>
          </w:p>
        </w:tc>
        <w:tc>
          <w:tcPr>
            <w:tcW w:w="851" w:type="dxa"/>
            <w:tcBorders>
              <w:top w:val="thickThinLargeGap" w:sz="2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rPr>
                <w:rFonts w:ascii="Arial CYR" w:hAnsi="Arial CYR" w:cs="Arial CYR"/>
                <w:b/>
              </w:rPr>
            </w:pPr>
            <w:r w:rsidRPr="007C50D0">
              <w:rPr>
                <w:rFonts w:ascii="Arial CYR" w:hAnsi="Arial CYR" w:cs="Arial CYR"/>
                <w:b/>
              </w:rPr>
              <w:t>19692</w:t>
            </w:r>
          </w:p>
        </w:tc>
        <w:tc>
          <w:tcPr>
            <w:tcW w:w="850" w:type="dxa"/>
            <w:tcBorders>
              <w:top w:val="thickThinLargeGap" w:sz="24" w:space="0" w:color="auto"/>
              <w:left w:val="single"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rFonts w:ascii="Arial CYR" w:hAnsi="Arial CYR" w:cs="Arial CYR"/>
                <w:b/>
                <w:sz w:val="24"/>
                <w:szCs w:val="24"/>
              </w:rPr>
            </w:pPr>
            <w:r w:rsidRPr="007C50D0">
              <w:rPr>
                <w:rFonts w:ascii="Arial CYR" w:hAnsi="Arial CYR" w:cs="Arial CYR"/>
                <w:b/>
              </w:rPr>
              <w:t>21469</w:t>
            </w:r>
          </w:p>
        </w:tc>
      </w:tr>
      <w:tr w:rsidR="007C50D0" w:rsidRPr="007C50D0" w:rsidTr="00FD6EC4">
        <w:trPr>
          <w:trHeight w:val="79"/>
        </w:trPr>
        <w:tc>
          <w:tcPr>
            <w:tcW w:w="4820" w:type="dxa"/>
            <w:tcBorders>
              <w:top w:val="double" w:sz="4" w:space="0" w:color="auto"/>
              <w:left w:val="double" w:sz="4" w:space="0" w:color="auto"/>
              <w:bottom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Кол-во привлеченных лиц, из них</w:t>
            </w:r>
          </w:p>
        </w:tc>
        <w:tc>
          <w:tcPr>
            <w:tcW w:w="850"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16992</w:t>
            </w:r>
          </w:p>
        </w:tc>
        <w:tc>
          <w:tcPr>
            <w:tcW w:w="851"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18169</w:t>
            </w:r>
          </w:p>
        </w:tc>
        <w:tc>
          <w:tcPr>
            <w:tcW w:w="992"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17041</w:t>
            </w:r>
          </w:p>
        </w:tc>
        <w:tc>
          <w:tcPr>
            <w:tcW w:w="851" w:type="dxa"/>
            <w:tcBorders>
              <w:top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18116</w:t>
            </w:r>
          </w:p>
        </w:tc>
        <w:tc>
          <w:tcPr>
            <w:tcW w:w="850" w:type="dxa"/>
            <w:tcBorders>
              <w:top w:val="double" w:sz="4" w:space="0" w:color="auto"/>
              <w:left w:val="sing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rFonts w:ascii="Arial CYR" w:hAnsi="Arial CYR" w:cs="Arial CYR"/>
                <w:sz w:val="24"/>
                <w:szCs w:val="24"/>
              </w:rPr>
            </w:pPr>
            <w:r w:rsidRPr="007C50D0">
              <w:rPr>
                <w:rFonts w:ascii="Arial CYR" w:hAnsi="Arial CYR" w:cs="Arial CYR"/>
              </w:rPr>
              <w:t>18866</w:t>
            </w:r>
          </w:p>
        </w:tc>
      </w:tr>
      <w:tr w:rsidR="007C50D0" w:rsidRPr="007C50D0" w:rsidTr="00FD6EC4">
        <w:trPr>
          <w:trHeight w:val="62"/>
        </w:trPr>
        <w:tc>
          <w:tcPr>
            <w:tcW w:w="4820" w:type="dxa"/>
            <w:tcBorders>
              <w:top w:val="single" w:sz="4" w:space="0" w:color="auto"/>
              <w:left w:val="double" w:sz="4" w:space="0" w:color="auto"/>
              <w:bottom w:val="double" w:sz="4" w:space="0" w:color="auto"/>
            </w:tcBorders>
            <w:shd w:val="clear" w:color="auto" w:fill="auto"/>
            <w:vAlign w:val="center"/>
          </w:tcPr>
          <w:p w:rsidR="007C50D0" w:rsidRPr="007C50D0" w:rsidRDefault="007C50D0" w:rsidP="008619A6">
            <w:pPr>
              <w:contextualSpacing/>
              <w:jc w:val="center"/>
              <w:rPr>
                <w:b/>
                <w:i/>
                <w:sz w:val="24"/>
                <w:szCs w:val="24"/>
              </w:rPr>
            </w:pPr>
            <w:r w:rsidRPr="007C50D0">
              <w:rPr>
                <w:b/>
                <w:i/>
                <w:sz w:val="24"/>
                <w:szCs w:val="24"/>
              </w:rPr>
              <w:t>%</w:t>
            </w:r>
          </w:p>
        </w:tc>
        <w:tc>
          <w:tcPr>
            <w:tcW w:w="850"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bCs/>
                <w:i/>
              </w:rPr>
            </w:pPr>
            <w:r w:rsidRPr="007C50D0">
              <w:rPr>
                <w:b/>
                <w:bCs/>
                <w:i/>
              </w:rPr>
              <w:t>92,1</w:t>
            </w:r>
          </w:p>
        </w:tc>
        <w:tc>
          <w:tcPr>
            <w:tcW w:w="851"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bCs/>
                <w:i/>
              </w:rPr>
            </w:pPr>
            <w:r w:rsidRPr="007C50D0">
              <w:rPr>
                <w:b/>
                <w:bCs/>
                <w:i/>
              </w:rPr>
              <w:t>92,9</w:t>
            </w:r>
          </w:p>
        </w:tc>
        <w:tc>
          <w:tcPr>
            <w:tcW w:w="992"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bCs/>
                <w:i/>
              </w:rPr>
            </w:pPr>
            <w:r w:rsidRPr="007C50D0">
              <w:rPr>
                <w:b/>
                <w:bCs/>
                <w:i/>
              </w:rPr>
              <w:t>93,7</w:t>
            </w:r>
          </w:p>
        </w:tc>
        <w:tc>
          <w:tcPr>
            <w:tcW w:w="851" w:type="dxa"/>
            <w:tcBorders>
              <w:top w:val="sing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rPr>
                <w:b/>
                <w:bCs/>
                <w:i/>
              </w:rPr>
            </w:pPr>
            <w:r w:rsidRPr="007C50D0">
              <w:rPr>
                <w:b/>
                <w:bCs/>
                <w:i/>
              </w:rPr>
              <w:t>92,0</w:t>
            </w:r>
          </w:p>
        </w:tc>
        <w:tc>
          <w:tcPr>
            <w:tcW w:w="850" w:type="dxa"/>
            <w:tcBorders>
              <w:top w:val="single" w:sz="4" w:space="0" w:color="auto"/>
              <w:left w:val="single"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rFonts w:ascii="Arial CYR" w:hAnsi="Arial CYR" w:cs="Arial CYR"/>
                <w:b/>
                <w:bCs/>
                <w:i/>
                <w:sz w:val="24"/>
                <w:szCs w:val="24"/>
              </w:rPr>
            </w:pPr>
            <w:r w:rsidRPr="007C50D0">
              <w:rPr>
                <w:rFonts w:ascii="Arial CYR" w:hAnsi="Arial CYR" w:cs="Arial CYR"/>
                <w:b/>
                <w:bCs/>
                <w:i/>
              </w:rPr>
              <w:t>87,9</w:t>
            </w:r>
          </w:p>
        </w:tc>
      </w:tr>
      <w:tr w:rsidR="007C50D0" w:rsidRPr="007C50D0" w:rsidTr="00FD6EC4">
        <w:trPr>
          <w:trHeight w:val="235"/>
        </w:trPr>
        <w:tc>
          <w:tcPr>
            <w:tcW w:w="4820" w:type="dxa"/>
            <w:tcBorders>
              <w:top w:val="double" w:sz="4" w:space="0" w:color="auto"/>
              <w:left w:val="double" w:sz="4" w:space="0" w:color="auto"/>
              <w:bottom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к штрафу</w:t>
            </w:r>
          </w:p>
        </w:tc>
        <w:tc>
          <w:tcPr>
            <w:tcW w:w="850"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9875</w:t>
            </w:r>
          </w:p>
        </w:tc>
        <w:tc>
          <w:tcPr>
            <w:tcW w:w="851"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10549</w:t>
            </w:r>
          </w:p>
        </w:tc>
        <w:tc>
          <w:tcPr>
            <w:tcW w:w="992"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9694</w:t>
            </w:r>
          </w:p>
        </w:tc>
        <w:tc>
          <w:tcPr>
            <w:tcW w:w="851" w:type="dxa"/>
            <w:tcBorders>
              <w:top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10466</w:t>
            </w:r>
          </w:p>
        </w:tc>
        <w:tc>
          <w:tcPr>
            <w:tcW w:w="850" w:type="dxa"/>
            <w:tcBorders>
              <w:top w:val="double" w:sz="4" w:space="0" w:color="auto"/>
              <w:left w:val="sing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rFonts w:ascii="Arial CYR" w:hAnsi="Arial CYR" w:cs="Arial CYR"/>
                <w:sz w:val="24"/>
                <w:szCs w:val="24"/>
              </w:rPr>
            </w:pPr>
            <w:r w:rsidRPr="007C50D0">
              <w:rPr>
                <w:rFonts w:ascii="Arial CYR" w:hAnsi="Arial CYR" w:cs="Arial CYR"/>
              </w:rPr>
              <w:t>11390</w:t>
            </w:r>
          </w:p>
        </w:tc>
      </w:tr>
      <w:tr w:rsidR="007C50D0" w:rsidRPr="007C50D0" w:rsidTr="00FD6EC4">
        <w:trPr>
          <w:trHeight w:val="62"/>
        </w:trPr>
        <w:tc>
          <w:tcPr>
            <w:tcW w:w="4820" w:type="dxa"/>
            <w:tcBorders>
              <w:top w:val="single" w:sz="4" w:space="0" w:color="auto"/>
              <w:left w:val="double" w:sz="4" w:space="0" w:color="auto"/>
              <w:bottom w:val="double" w:sz="4" w:space="0" w:color="auto"/>
            </w:tcBorders>
            <w:shd w:val="clear" w:color="auto" w:fill="auto"/>
            <w:vAlign w:val="center"/>
          </w:tcPr>
          <w:p w:rsidR="007C50D0" w:rsidRPr="007C50D0" w:rsidRDefault="007C50D0" w:rsidP="008619A6">
            <w:pPr>
              <w:contextualSpacing/>
              <w:jc w:val="center"/>
              <w:rPr>
                <w:b/>
                <w:i/>
                <w:sz w:val="24"/>
                <w:szCs w:val="24"/>
              </w:rPr>
            </w:pPr>
            <w:r w:rsidRPr="007C50D0">
              <w:rPr>
                <w:b/>
                <w:i/>
                <w:sz w:val="24"/>
                <w:szCs w:val="24"/>
              </w:rPr>
              <w:t>%</w:t>
            </w:r>
          </w:p>
        </w:tc>
        <w:tc>
          <w:tcPr>
            <w:tcW w:w="850"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bCs/>
                <w:i/>
              </w:rPr>
            </w:pPr>
            <w:r w:rsidRPr="007C50D0">
              <w:rPr>
                <w:b/>
                <w:bCs/>
                <w:i/>
              </w:rPr>
              <w:t>58,1</w:t>
            </w:r>
          </w:p>
        </w:tc>
        <w:tc>
          <w:tcPr>
            <w:tcW w:w="851"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bCs/>
                <w:i/>
              </w:rPr>
            </w:pPr>
            <w:r w:rsidRPr="007C50D0">
              <w:rPr>
                <w:b/>
                <w:bCs/>
                <w:i/>
              </w:rPr>
              <w:t>58,1</w:t>
            </w:r>
          </w:p>
        </w:tc>
        <w:tc>
          <w:tcPr>
            <w:tcW w:w="992"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bCs/>
                <w:i/>
              </w:rPr>
            </w:pPr>
            <w:r w:rsidRPr="007C50D0">
              <w:rPr>
                <w:b/>
                <w:bCs/>
                <w:i/>
              </w:rPr>
              <w:t>53,3</w:t>
            </w:r>
          </w:p>
        </w:tc>
        <w:tc>
          <w:tcPr>
            <w:tcW w:w="851" w:type="dxa"/>
            <w:tcBorders>
              <w:top w:val="sing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rPr>
                <w:b/>
                <w:bCs/>
                <w:i/>
              </w:rPr>
            </w:pPr>
            <w:r w:rsidRPr="007C50D0">
              <w:rPr>
                <w:b/>
                <w:bCs/>
                <w:i/>
              </w:rPr>
              <w:t>57,8</w:t>
            </w:r>
          </w:p>
        </w:tc>
        <w:tc>
          <w:tcPr>
            <w:tcW w:w="850" w:type="dxa"/>
            <w:tcBorders>
              <w:top w:val="single" w:sz="4" w:space="0" w:color="auto"/>
              <w:left w:val="single"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rFonts w:ascii="Arial CYR" w:hAnsi="Arial CYR" w:cs="Arial CYR"/>
                <w:b/>
                <w:bCs/>
                <w:i/>
                <w:sz w:val="24"/>
                <w:szCs w:val="24"/>
              </w:rPr>
            </w:pPr>
            <w:r w:rsidRPr="007C50D0">
              <w:rPr>
                <w:rFonts w:ascii="Arial CYR" w:hAnsi="Arial CYR" w:cs="Arial CYR"/>
                <w:b/>
                <w:bCs/>
                <w:i/>
              </w:rPr>
              <w:t>60,4</w:t>
            </w:r>
          </w:p>
        </w:tc>
      </w:tr>
      <w:tr w:rsidR="007C50D0" w:rsidRPr="007C50D0" w:rsidTr="00FD6EC4">
        <w:trPr>
          <w:trHeight w:val="343"/>
        </w:trPr>
        <w:tc>
          <w:tcPr>
            <w:tcW w:w="4820" w:type="dxa"/>
            <w:tcBorders>
              <w:top w:val="double" w:sz="4" w:space="0" w:color="auto"/>
              <w:left w:val="double" w:sz="4" w:space="0" w:color="auto"/>
              <w:bottom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к административному аресту</w:t>
            </w:r>
          </w:p>
        </w:tc>
        <w:tc>
          <w:tcPr>
            <w:tcW w:w="850"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5505</w:t>
            </w:r>
          </w:p>
        </w:tc>
        <w:tc>
          <w:tcPr>
            <w:tcW w:w="851"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6235</w:t>
            </w:r>
          </w:p>
        </w:tc>
        <w:tc>
          <w:tcPr>
            <w:tcW w:w="992"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6081</w:t>
            </w:r>
          </w:p>
        </w:tc>
        <w:tc>
          <w:tcPr>
            <w:tcW w:w="851" w:type="dxa"/>
            <w:tcBorders>
              <w:top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6048</w:t>
            </w:r>
          </w:p>
        </w:tc>
        <w:tc>
          <w:tcPr>
            <w:tcW w:w="850" w:type="dxa"/>
            <w:tcBorders>
              <w:top w:val="double" w:sz="4" w:space="0" w:color="auto"/>
              <w:left w:val="sing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rFonts w:ascii="Arial CYR" w:hAnsi="Arial CYR" w:cs="Arial CYR"/>
                <w:b/>
                <w:bCs/>
                <w:sz w:val="24"/>
                <w:szCs w:val="24"/>
              </w:rPr>
            </w:pPr>
            <w:r w:rsidRPr="007C50D0">
              <w:rPr>
                <w:rFonts w:ascii="Arial CYR" w:hAnsi="Arial CYR" w:cs="Arial CYR"/>
                <w:b/>
                <w:bCs/>
              </w:rPr>
              <w:t>6331</w:t>
            </w:r>
          </w:p>
        </w:tc>
      </w:tr>
      <w:tr w:rsidR="007C50D0" w:rsidRPr="007C50D0" w:rsidTr="00FD6EC4">
        <w:trPr>
          <w:trHeight w:val="62"/>
        </w:trPr>
        <w:tc>
          <w:tcPr>
            <w:tcW w:w="4820" w:type="dxa"/>
            <w:tcBorders>
              <w:top w:val="single" w:sz="4" w:space="0" w:color="auto"/>
              <w:left w:val="double" w:sz="4" w:space="0" w:color="auto"/>
              <w:bottom w:val="double" w:sz="4" w:space="0" w:color="auto"/>
            </w:tcBorders>
            <w:shd w:val="clear" w:color="auto" w:fill="auto"/>
            <w:vAlign w:val="center"/>
          </w:tcPr>
          <w:p w:rsidR="007C50D0" w:rsidRPr="007C50D0" w:rsidRDefault="007C50D0" w:rsidP="008619A6">
            <w:pPr>
              <w:contextualSpacing/>
              <w:jc w:val="center"/>
              <w:rPr>
                <w:b/>
                <w:i/>
                <w:sz w:val="24"/>
                <w:szCs w:val="24"/>
              </w:rPr>
            </w:pPr>
            <w:r w:rsidRPr="007C50D0">
              <w:rPr>
                <w:b/>
                <w:i/>
                <w:sz w:val="24"/>
                <w:szCs w:val="24"/>
              </w:rPr>
              <w:t>%</w:t>
            </w:r>
          </w:p>
        </w:tc>
        <w:tc>
          <w:tcPr>
            <w:tcW w:w="850"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i/>
              </w:rPr>
            </w:pPr>
            <w:r w:rsidRPr="007C50D0">
              <w:rPr>
                <w:b/>
                <w:i/>
              </w:rPr>
              <w:t>32,4</w:t>
            </w:r>
          </w:p>
        </w:tc>
        <w:tc>
          <w:tcPr>
            <w:tcW w:w="851"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i/>
              </w:rPr>
            </w:pPr>
            <w:r w:rsidRPr="007C50D0">
              <w:rPr>
                <w:b/>
                <w:i/>
              </w:rPr>
              <w:t>34,3</w:t>
            </w:r>
          </w:p>
        </w:tc>
        <w:tc>
          <w:tcPr>
            <w:tcW w:w="992"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i/>
              </w:rPr>
            </w:pPr>
            <w:r w:rsidRPr="007C50D0">
              <w:rPr>
                <w:b/>
                <w:i/>
              </w:rPr>
              <w:t>33,5</w:t>
            </w:r>
          </w:p>
        </w:tc>
        <w:tc>
          <w:tcPr>
            <w:tcW w:w="851" w:type="dxa"/>
            <w:tcBorders>
              <w:top w:val="sing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rPr>
                <w:b/>
                <w:i/>
              </w:rPr>
            </w:pPr>
            <w:r w:rsidRPr="007C50D0">
              <w:rPr>
                <w:b/>
                <w:i/>
              </w:rPr>
              <w:t>30,7</w:t>
            </w:r>
          </w:p>
        </w:tc>
        <w:tc>
          <w:tcPr>
            <w:tcW w:w="850" w:type="dxa"/>
            <w:tcBorders>
              <w:top w:val="single" w:sz="4" w:space="0" w:color="auto"/>
              <w:left w:val="single"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rFonts w:ascii="Arial CYR" w:hAnsi="Arial CYR" w:cs="Arial CYR"/>
                <w:b/>
                <w:bCs/>
                <w:i/>
                <w:sz w:val="24"/>
                <w:szCs w:val="24"/>
              </w:rPr>
            </w:pPr>
            <w:r w:rsidRPr="007C50D0">
              <w:rPr>
                <w:rFonts w:ascii="Arial CYR" w:hAnsi="Arial CYR" w:cs="Arial CYR"/>
                <w:b/>
                <w:bCs/>
                <w:i/>
              </w:rPr>
              <w:t>29,5</w:t>
            </w:r>
          </w:p>
        </w:tc>
      </w:tr>
      <w:tr w:rsidR="007C50D0" w:rsidRPr="007C50D0" w:rsidTr="00FD6EC4">
        <w:trPr>
          <w:trHeight w:val="259"/>
        </w:trPr>
        <w:tc>
          <w:tcPr>
            <w:tcW w:w="4820" w:type="dxa"/>
            <w:tcBorders>
              <w:top w:val="double" w:sz="4" w:space="0" w:color="auto"/>
              <w:left w:val="double" w:sz="4" w:space="0" w:color="auto"/>
              <w:bottom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к приостановлению деятельности</w:t>
            </w:r>
          </w:p>
        </w:tc>
        <w:tc>
          <w:tcPr>
            <w:tcW w:w="850"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434</w:t>
            </w:r>
          </w:p>
        </w:tc>
        <w:tc>
          <w:tcPr>
            <w:tcW w:w="851"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603</w:t>
            </w:r>
          </w:p>
        </w:tc>
        <w:tc>
          <w:tcPr>
            <w:tcW w:w="992"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565</w:t>
            </w:r>
          </w:p>
        </w:tc>
        <w:tc>
          <w:tcPr>
            <w:tcW w:w="851" w:type="dxa"/>
            <w:tcBorders>
              <w:top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1144</w:t>
            </w:r>
          </w:p>
        </w:tc>
        <w:tc>
          <w:tcPr>
            <w:tcW w:w="850" w:type="dxa"/>
            <w:tcBorders>
              <w:top w:val="double" w:sz="4" w:space="0" w:color="auto"/>
              <w:left w:val="sing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rFonts w:ascii="Arial CYR" w:hAnsi="Arial CYR" w:cs="Arial CYR"/>
                <w:sz w:val="24"/>
                <w:szCs w:val="24"/>
              </w:rPr>
            </w:pPr>
            <w:r w:rsidRPr="007C50D0">
              <w:rPr>
                <w:rFonts w:ascii="Arial CYR" w:hAnsi="Arial CYR" w:cs="Arial CYR"/>
              </w:rPr>
              <w:t>624</w:t>
            </w:r>
          </w:p>
        </w:tc>
      </w:tr>
      <w:tr w:rsidR="007C50D0" w:rsidRPr="007C50D0" w:rsidTr="00FD6EC4">
        <w:trPr>
          <w:trHeight w:val="256"/>
        </w:trPr>
        <w:tc>
          <w:tcPr>
            <w:tcW w:w="4820" w:type="dxa"/>
            <w:tcBorders>
              <w:top w:val="single" w:sz="4" w:space="0" w:color="auto"/>
              <w:left w:val="double" w:sz="4" w:space="0" w:color="auto"/>
              <w:bottom w:val="double" w:sz="4" w:space="0" w:color="auto"/>
            </w:tcBorders>
            <w:shd w:val="clear" w:color="auto" w:fill="auto"/>
            <w:vAlign w:val="center"/>
          </w:tcPr>
          <w:p w:rsidR="007C50D0" w:rsidRPr="007C50D0" w:rsidRDefault="007C50D0" w:rsidP="008619A6">
            <w:pPr>
              <w:contextualSpacing/>
              <w:jc w:val="center"/>
              <w:rPr>
                <w:b/>
                <w:i/>
                <w:sz w:val="24"/>
                <w:szCs w:val="24"/>
              </w:rPr>
            </w:pPr>
            <w:r w:rsidRPr="007C50D0">
              <w:rPr>
                <w:b/>
                <w:i/>
                <w:sz w:val="24"/>
                <w:szCs w:val="24"/>
              </w:rPr>
              <w:t>%</w:t>
            </w:r>
          </w:p>
        </w:tc>
        <w:tc>
          <w:tcPr>
            <w:tcW w:w="850"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bCs/>
                <w:i/>
              </w:rPr>
            </w:pPr>
            <w:r w:rsidRPr="007C50D0">
              <w:rPr>
                <w:b/>
                <w:bCs/>
                <w:i/>
              </w:rPr>
              <w:t>2,6</w:t>
            </w:r>
          </w:p>
        </w:tc>
        <w:tc>
          <w:tcPr>
            <w:tcW w:w="851"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bCs/>
                <w:i/>
              </w:rPr>
            </w:pPr>
            <w:r w:rsidRPr="007C50D0">
              <w:rPr>
                <w:b/>
                <w:bCs/>
                <w:i/>
              </w:rPr>
              <w:t>3,3</w:t>
            </w:r>
          </w:p>
        </w:tc>
        <w:tc>
          <w:tcPr>
            <w:tcW w:w="992"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bCs/>
                <w:i/>
              </w:rPr>
            </w:pPr>
            <w:r w:rsidRPr="007C50D0">
              <w:rPr>
                <w:b/>
                <w:bCs/>
                <w:i/>
              </w:rPr>
              <w:t>3,1</w:t>
            </w:r>
          </w:p>
        </w:tc>
        <w:tc>
          <w:tcPr>
            <w:tcW w:w="851" w:type="dxa"/>
            <w:tcBorders>
              <w:top w:val="sing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rPr>
                <w:b/>
                <w:bCs/>
                <w:i/>
              </w:rPr>
            </w:pPr>
            <w:r w:rsidRPr="007C50D0">
              <w:rPr>
                <w:b/>
                <w:bCs/>
                <w:i/>
              </w:rPr>
              <w:t>6,3</w:t>
            </w:r>
          </w:p>
        </w:tc>
        <w:tc>
          <w:tcPr>
            <w:tcW w:w="850" w:type="dxa"/>
            <w:tcBorders>
              <w:top w:val="single" w:sz="4" w:space="0" w:color="auto"/>
              <w:left w:val="single"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rFonts w:ascii="Arial CYR" w:hAnsi="Arial CYR" w:cs="Arial CYR"/>
                <w:b/>
                <w:bCs/>
                <w:i/>
                <w:sz w:val="24"/>
                <w:szCs w:val="24"/>
              </w:rPr>
            </w:pPr>
            <w:r w:rsidRPr="007C50D0">
              <w:rPr>
                <w:rFonts w:ascii="Arial CYR" w:hAnsi="Arial CYR" w:cs="Arial CYR"/>
                <w:b/>
                <w:bCs/>
                <w:i/>
              </w:rPr>
              <w:t>3,3</w:t>
            </w:r>
          </w:p>
        </w:tc>
      </w:tr>
      <w:tr w:rsidR="007C50D0" w:rsidRPr="007C50D0" w:rsidTr="00FD6EC4">
        <w:trPr>
          <w:trHeight w:val="256"/>
        </w:trPr>
        <w:tc>
          <w:tcPr>
            <w:tcW w:w="4820" w:type="dxa"/>
            <w:tcBorders>
              <w:top w:val="double" w:sz="4" w:space="0" w:color="auto"/>
              <w:left w:val="double" w:sz="4" w:space="0" w:color="auto"/>
              <w:bottom w:val="sing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к лишению спец. права</w:t>
            </w:r>
          </w:p>
        </w:tc>
        <w:tc>
          <w:tcPr>
            <w:tcW w:w="850"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597</w:t>
            </w:r>
          </w:p>
        </w:tc>
        <w:tc>
          <w:tcPr>
            <w:tcW w:w="851"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482</w:t>
            </w:r>
          </w:p>
        </w:tc>
        <w:tc>
          <w:tcPr>
            <w:tcW w:w="992" w:type="dxa"/>
            <w:tcBorders>
              <w:top w:val="double" w:sz="4" w:space="0" w:color="auto"/>
              <w:bottom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347</w:t>
            </w:r>
          </w:p>
        </w:tc>
        <w:tc>
          <w:tcPr>
            <w:tcW w:w="851" w:type="dxa"/>
            <w:tcBorders>
              <w:top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rFonts w:ascii="Arial CYR" w:hAnsi="Arial CYR" w:cs="Arial CYR"/>
              </w:rPr>
            </w:pPr>
            <w:r w:rsidRPr="007C50D0">
              <w:rPr>
                <w:rFonts w:ascii="Arial CYR" w:hAnsi="Arial CYR" w:cs="Arial CYR"/>
              </w:rPr>
              <w:t>286</w:t>
            </w:r>
          </w:p>
        </w:tc>
        <w:tc>
          <w:tcPr>
            <w:tcW w:w="850" w:type="dxa"/>
            <w:tcBorders>
              <w:top w:val="double" w:sz="4" w:space="0" w:color="auto"/>
              <w:left w:val="sing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rFonts w:ascii="Arial CYR" w:hAnsi="Arial CYR" w:cs="Arial CYR"/>
                <w:sz w:val="24"/>
                <w:szCs w:val="24"/>
              </w:rPr>
            </w:pPr>
            <w:r w:rsidRPr="007C50D0">
              <w:rPr>
                <w:rFonts w:ascii="Arial CYR" w:hAnsi="Arial CYR" w:cs="Arial CYR"/>
              </w:rPr>
              <w:t>277</w:t>
            </w:r>
          </w:p>
        </w:tc>
      </w:tr>
      <w:tr w:rsidR="007C50D0" w:rsidRPr="007C50D0" w:rsidTr="00FD6EC4">
        <w:trPr>
          <w:trHeight w:val="256"/>
        </w:trPr>
        <w:tc>
          <w:tcPr>
            <w:tcW w:w="4820" w:type="dxa"/>
            <w:tcBorders>
              <w:top w:val="single" w:sz="4" w:space="0" w:color="auto"/>
              <w:left w:val="double" w:sz="4" w:space="0" w:color="auto"/>
              <w:bottom w:val="double" w:sz="4" w:space="0" w:color="auto"/>
            </w:tcBorders>
            <w:shd w:val="clear" w:color="auto" w:fill="auto"/>
            <w:vAlign w:val="center"/>
          </w:tcPr>
          <w:p w:rsidR="007C50D0" w:rsidRPr="007C50D0" w:rsidRDefault="007C50D0" w:rsidP="008619A6">
            <w:pPr>
              <w:contextualSpacing/>
              <w:jc w:val="center"/>
              <w:rPr>
                <w:b/>
                <w:i/>
                <w:sz w:val="24"/>
                <w:szCs w:val="24"/>
              </w:rPr>
            </w:pPr>
            <w:r w:rsidRPr="007C50D0">
              <w:rPr>
                <w:b/>
                <w:i/>
                <w:sz w:val="24"/>
                <w:szCs w:val="24"/>
              </w:rPr>
              <w:t>%</w:t>
            </w:r>
          </w:p>
        </w:tc>
        <w:tc>
          <w:tcPr>
            <w:tcW w:w="850"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bCs/>
                <w:i/>
              </w:rPr>
            </w:pPr>
            <w:r w:rsidRPr="007C50D0">
              <w:rPr>
                <w:b/>
                <w:bCs/>
                <w:i/>
              </w:rPr>
              <w:t>3,5</w:t>
            </w:r>
          </w:p>
        </w:tc>
        <w:tc>
          <w:tcPr>
            <w:tcW w:w="851"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bCs/>
                <w:i/>
              </w:rPr>
            </w:pPr>
            <w:r w:rsidRPr="007C50D0">
              <w:rPr>
                <w:b/>
                <w:bCs/>
                <w:i/>
              </w:rPr>
              <w:t>2,7</w:t>
            </w:r>
          </w:p>
        </w:tc>
        <w:tc>
          <w:tcPr>
            <w:tcW w:w="992" w:type="dxa"/>
            <w:tcBorders>
              <w:top w:val="single" w:sz="4" w:space="0" w:color="auto"/>
              <w:bottom w:val="double" w:sz="4" w:space="0" w:color="auto"/>
            </w:tcBorders>
            <w:shd w:val="clear" w:color="auto" w:fill="auto"/>
            <w:vAlign w:val="center"/>
          </w:tcPr>
          <w:p w:rsidR="007C50D0" w:rsidRPr="007C50D0" w:rsidRDefault="007C50D0" w:rsidP="008619A6">
            <w:pPr>
              <w:contextualSpacing/>
              <w:jc w:val="center"/>
              <w:rPr>
                <w:b/>
                <w:bCs/>
                <w:i/>
              </w:rPr>
            </w:pPr>
            <w:r w:rsidRPr="007C50D0">
              <w:rPr>
                <w:b/>
                <w:bCs/>
                <w:i/>
              </w:rPr>
              <w:t>1,9</w:t>
            </w:r>
          </w:p>
        </w:tc>
        <w:tc>
          <w:tcPr>
            <w:tcW w:w="851" w:type="dxa"/>
            <w:tcBorders>
              <w:top w:val="sing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rPr>
                <w:b/>
                <w:bCs/>
                <w:i/>
              </w:rPr>
            </w:pPr>
            <w:r w:rsidRPr="007C50D0">
              <w:rPr>
                <w:b/>
                <w:bCs/>
                <w:i/>
              </w:rPr>
              <w:t>1,6</w:t>
            </w:r>
          </w:p>
        </w:tc>
        <w:tc>
          <w:tcPr>
            <w:tcW w:w="850" w:type="dxa"/>
            <w:tcBorders>
              <w:top w:val="single" w:sz="4" w:space="0" w:color="auto"/>
              <w:left w:val="single"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rFonts w:ascii="Arial CYR" w:hAnsi="Arial CYR" w:cs="Arial CYR"/>
                <w:b/>
                <w:bCs/>
                <w:i/>
                <w:sz w:val="24"/>
                <w:szCs w:val="24"/>
              </w:rPr>
            </w:pPr>
            <w:r w:rsidRPr="007C50D0">
              <w:rPr>
                <w:rFonts w:ascii="Arial CYR" w:hAnsi="Arial CYR" w:cs="Arial CYR"/>
                <w:b/>
                <w:bCs/>
                <w:i/>
              </w:rPr>
              <w:t>1,5</w:t>
            </w:r>
          </w:p>
        </w:tc>
      </w:tr>
    </w:tbl>
    <w:p w:rsidR="00FD6EC4" w:rsidRPr="007C50D0" w:rsidRDefault="00FD6EC4" w:rsidP="00FD6EC4">
      <w:pPr>
        <w:ind w:firstLine="960"/>
        <w:contextualSpacing/>
        <w:jc w:val="both"/>
        <w:rPr>
          <w:bCs/>
          <w:sz w:val="28"/>
          <w:szCs w:val="28"/>
        </w:rPr>
      </w:pPr>
      <w:r w:rsidRPr="007C50D0">
        <w:rPr>
          <w:bCs/>
          <w:sz w:val="28"/>
          <w:szCs w:val="28"/>
        </w:rPr>
        <w:lastRenderedPageBreak/>
        <w:t xml:space="preserve">К 10,8% лиц, привлеченных к административной ответственности, применялись дополнительные меры административного наказания. Как и в прошлом году, в качестве дополнительной меры чаще всего (89,0%) применялась такая мера наказания, как </w:t>
      </w:r>
      <w:proofErr w:type="gramStart"/>
      <w:r w:rsidRPr="007C50D0">
        <w:rPr>
          <w:bCs/>
          <w:sz w:val="28"/>
          <w:szCs w:val="28"/>
        </w:rPr>
        <w:t>выдворение</w:t>
      </w:r>
      <w:proofErr w:type="gramEnd"/>
      <w:r w:rsidRPr="007C50D0">
        <w:rPr>
          <w:bCs/>
          <w:sz w:val="28"/>
          <w:szCs w:val="28"/>
        </w:rPr>
        <w:t>. Это на 2,1% больше, чем в прошлом году. Всего было выдворено за пределы РФ 1816 лиц, что на 3% превышает показатель прошлого отчетного периода.</w:t>
      </w:r>
    </w:p>
    <w:p w:rsidR="007C50D0" w:rsidRPr="007C50D0" w:rsidRDefault="007C50D0" w:rsidP="008619A6">
      <w:pPr>
        <w:ind w:firstLine="960"/>
        <w:contextualSpacing/>
        <w:jc w:val="both"/>
        <w:rPr>
          <w:bCs/>
          <w:sz w:val="28"/>
          <w:szCs w:val="28"/>
        </w:rPr>
      </w:pPr>
      <w:r w:rsidRPr="007C50D0">
        <w:rPr>
          <w:bCs/>
          <w:sz w:val="28"/>
          <w:szCs w:val="28"/>
        </w:rPr>
        <w:t xml:space="preserve">Наиболее весомую долю среди </w:t>
      </w:r>
      <w:proofErr w:type="gramStart"/>
      <w:r w:rsidRPr="007C50D0">
        <w:rPr>
          <w:bCs/>
          <w:sz w:val="28"/>
          <w:szCs w:val="28"/>
        </w:rPr>
        <w:t>привлеченных</w:t>
      </w:r>
      <w:proofErr w:type="gramEnd"/>
      <w:r w:rsidRPr="007C50D0">
        <w:rPr>
          <w:bCs/>
          <w:sz w:val="28"/>
          <w:szCs w:val="28"/>
        </w:rPr>
        <w:t xml:space="preserve"> к административной ответственности по-прежнему занимают физические лица: 92,4%, или 17428.</w:t>
      </w:r>
      <w:r w:rsidRPr="007C50D0">
        <w:rPr>
          <w:bCs/>
          <w:color w:val="0000FF"/>
          <w:sz w:val="28"/>
          <w:szCs w:val="28"/>
        </w:rPr>
        <w:t xml:space="preserve"> </w:t>
      </w:r>
      <w:r w:rsidRPr="007C50D0">
        <w:rPr>
          <w:bCs/>
          <w:sz w:val="28"/>
          <w:szCs w:val="28"/>
        </w:rPr>
        <w:t>По сравнению с 2016 годом наблюдается увеличение удельного веса этой группы лиц на 3,2%. Абсолютное же значение показателя на 7,8% выше уровня 2016 года.</w:t>
      </w:r>
      <w:r w:rsidRPr="007C50D0">
        <w:rPr>
          <w:bCs/>
          <w:color w:val="0000FF"/>
          <w:sz w:val="28"/>
          <w:szCs w:val="28"/>
        </w:rPr>
        <w:t xml:space="preserve"> </w:t>
      </w:r>
      <w:r w:rsidRPr="007C50D0">
        <w:rPr>
          <w:bCs/>
          <w:sz w:val="28"/>
          <w:szCs w:val="28"/>
        </w:rPr>
        <w:t>Статистические данные последних пяти лет показывают плавное снижение удельного веса этой категории лиц в общем количестве привлеченных к административной ответственности. Однако в абсолютном исчислении количество физических лиц, подвергнутых административным наказаниям</w:t>
      </w:r>
      <w:r w:rsidR="00FD6EC4">
        <w:rPr>
          <w:bCs/>
          <w:sz w:val="28"/>
          <w:szCs w:val="28"/>
        </w:rPr>
        <w:t>,</w:t>
      </w:r>
      <w:r w:rsidRPr="007C50D0">
        <w:rPr>
          <w:bCs/>
          <w:sz w:val="28"/>
          <w:szCs w:val="28"/>
        </w:rPr>
        <w:t xml:space="preserve"> имеет тенденцию роста.</w:t>
      </w:r>
    </w:p>
    <w:p w:rsidR="007C50D0" w:rsidRPr="007C50D0" w:rsidRDefault="007C50D0" w:rsidP="008619A6">
      <w:pPr>
        <w:ind w:firstLine="960"/>
        <w:contextualSpacing/>
        <w:jc w:val="both"/>
        <w:rPr>
          <w:bCs/>
          <w:sz w:val="24"/>
          <w:szCs w:val="24"/>
        </w:rPr>
      </w:pPr>
      <w:r w:rsidRPr="007C50D0">
        <w:rPr>
          <w:bCs/>
          <w:sz w:val="24"/>
          <w:szCs w:val="24"/>
        </w:rPr>
        <w:t xml:space="preserve">                                                                                                      Диаграмма </w:t>
      </w:r>
      <w:r w:rsidR="006C7CE1">
        <w:rPr>
          <w:bCs/>
          <w:sz w:val="24"/>
          <w:szCs w:val="24"/>
        </w:rPr>
        <w:t>2</w:t>
      </w:r>
      <w:r w:rsidRPr="007C50D0">
        <w:rPr>
          <w:bCs/>
          <w:sz w:val="24"/>
          <w:szCs w:val="24"/>
        </w:rPr>
        <w:t>0</w:t>
      </w:r>
    </w:p>
    <w:p w:rsidR="007C50D0" w:rsidRPr="007C50D0" w:rsidRDefault="007C50D0" w:rsidP="008619A6">
      <w:pPr>
        <w:ind w:firstLine="960"/>
        <w:contextualSpacing/>
        <w:jc w:val="both"/>
        <w:rPr>
          <w:bCs/>
          <w:sz w:val="28"/>
          <w:szCs w:val="28"/>
        </w:rPr>
      </w:pPr>
      <w:r>
        <w:rPr>
          <w:bCs/>
          <w:noProof/>
          <w:sz w:val="28"/>
          <w:szCs w:val="28"/>
        </w:rPr>
        <w:drawing>
          <wp:inline distT="0" distB="0" distL="0" distR="0" wp14:anchorId="18002B68" wp14:editId="598DE33C">
            <wp:extent cx="4752975" cy="23272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52975" cy="2327275"/>
                    </a:xfrm>
                    <a:prstGeom prst="rect">
                      <a:avLst/>
                    </a:prstGeom>
                    <a:noFill/>
                  </pic:spPr>
                </pic:pic>
              </a:graphicData>
            </a:graphic>
          </wp:inline>
        </w:drawing>
      </w:r>
    </w:p>
    <w:p w:rsidR="007C50D0" w:rsidRPr="007C50D0" w:rsidRDefault="007C50D0" w:rsidP="008619A6">
      <w:pPr>
        <w:ind w:firstLine="960"/>
        <w:contextualSpacing/>
        <w:jc w:val="both"/>
        <w:rPr>
          <w:bCs/>
          <w:sz w:val="28"/>
          <w:szCs w:val="28"/>
        </w:rPr>
      </w:pPr>
      <w:r w:rsidRPr="007C50D0">
        <w:rPr>
          <w:bCs/>
          <w:sz w:val="28"/>
          <w:szCs w:val="28"/>
        </w:rPr>
        <w:t xml:space="preserve">Удельный вес юридических лиц уменьшился на 3,2% и составил 4,7% (892 лица) в общей массе лиц, привлеченных к административной ответственности. В абсолютном же исчислении данный показатель уменьшился значительно – на 37,7% по отношению к прошлому году. </w:t>
      </w:r>
    </w:p>
    <w:p w:rsidR="007C50D0" w:rsidRDefault="007C50D0" w:rsidP="008619A6">
      <w:pPr>
        <w:ind w:firstLine="720"/>
        <w:contextualSpacing/>
        <w:jc w:val="both"/>
        <w:rPr>
          <w:bCs/>
          <w:sz w:val="24"/>
          <w:szCs w:val="24"/>
        </w:rPr>
      </w:pPr>
      <w:r w:rsidRPr="007C50D0">
        <w:rPr>
          <w:bCs/>
          <w:sz w:val="24"/>
          <w:szCs w:val="24"/>
        </w:rPr>
        <w:t xml:space="preserve">                                                                                                                         График 12</w:t>
      </w:r>
    </w:p>
    <w:p w:rsidR="00635ABC" w:rsidRPr="007C50D0" w:rsidRDefault="00635ABC" w:rsidP="00635ABC">
      <w:pPr>
        <w:ind w:firstLine="720"/>
        <w:contextualSpacing/>
        <w:jc w:val="center"/>
        <w:rPr>
          <w:bCs/>
          <w:sz w:val="24"/>
          <w:szCs w:val="24"/>
        </w:rPr>
      </w:pPr>
      <w:r>
        <w:rPr>
          <w:noProof/>
        </w:rPr>
        <w:drawing>
          <wp:inline distT="0" distB="0" distL="0" distR="0" wp14:anchorId="20F41F98" wp14:editId="1BA9D503">
            <wp:extent cx="4819135" cy="2603157"/>
            <wp:effectExtent l="0" t="0" r="19685" b="2603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35ABC" w:rsidRPr="007C50D0" w:rsidRDefault="00635ABC" w:rsidP="00635ABC">
      <w:pPr>
        <w:ind w:firstLine="960"/>
        <w:contextualSpacing/>
        <w:jc w:val="both"/>
        <w:rPr>
          <w:bCs/>
          <w:sz w:val="28"/>
          <w:szCs w:val="28"/>
        </w:rPr>
      </w:pPr>
      <w:r w:rsidRPr="007C50D0">
        <w:rPr>
          <w:bCs/>
          <w:sz w:val="28"/>
          <w:szCs w:val="28"/>
        </w:rPr>
        <w:lastRenderedPageBreak/>
        <w:t xml:space="preserve">На 19,0% больше было привлечено к административной ответственности должностных лиц (200 лиц). </w:t>
      </w:r>
    </w:p>
    <w:p w:rsidR="00635ABC" w:rsidRPr="007C50D0" w:rsidRDefault="00635ABC" w:rsidP="00635ABC">
      <w:pPr>
        <w:ind w:firstLine="960"/>
        <w:contextualSpacing/>
        <w:jc w:val="both"/>
        <w:rPr>
          <w:bCs/>
          <w:sz w:val="28"/>
          <w:szCs w:val="28"/>
        </w:rPr>
      </w:pPr>
      <w:r w:rsidRPr="007C50D0">
        <w:rPr>
          <w:bCs/>
          <w:sz w:val="28"/>
          <w:szCs w:val="28"/>
        </w:rPr>
        <w:t>Количество предпринимателей без образования юридического лица, привлеченных к административной ответственности в 2017 году, сохранилось на уровне прошлого года и составило 346 лиц</w:t>
      </w:r>
      <w:r>
        <w:rPr>
          <w:bCs/>
          <w:sz w:val="28"/>
          <w:szCs w:val="28"/>
        </w:rPr>
        <w:t xml:space="preserve"> (см. График 12).</w:t>
      </w:r>
    </w:p>
    <w:p w:rsidR="007C50D0" w:rsidRPr="007C50D0" w:rsidRDefault="007C50D0" w:rsidP="008619A6">
      <w:pPr>
        <w:ind w:firstLine="900"/>
        <w:contextualSpacing/>
        <w:jc w:val="both"/>
        <w:rPr>
          <w:bCs/>
          <w:sz w:val="28"/>
          <w:szCs w:val="28"/>
        </w:rPr>
      </w:pPr>
      <w:r w:rsidRPr="007C50D0">
        <w:rPr>
          <w:sz w:val="28"/>
          <w:szCs w:val="28"/>
        </w:rPr>
        <w:t xml:space="preserve">Общая сумма наложенных штрафов по постановлениям, вступившим в законную силу в 2017 году, составила 51,6 млн. руб., </w:t>
      </w:r>
      <w:r w:rsidRPr="007C50D0">
        <w:rPr>
          <w:bCs/>
          <w:sz w:val="28"/>
          <w:szCs w:val="28"/>
        </w:rPr>
        <w:t xml:space="preserve">что на 14,7% меньше, чем в 2016 году. </w:t>
      </w:r>
    </w:p>
    <w:p w:rsidR="007C50D0" w:rsidRPr="007C50D0" w:rsidRDefault="007C50D0" w:rsidP="008619A6">
      <w:pPr>
        <w:ind w:firstLine="900"/>
        <w:contextualSpacing/>
        <w:jc w:val="both"/>
        <w:rPr>
          <w:sz w:val="28"/>
          <w:szCs w:val="28"/>
        </w:rPr>
      </w:pPr>
      <w:r w:rsidRPr="007C50D0">
        <w:rPr>
          <w:sz w:val="28"/>
          <w:szCs w:val="28"/>
        </w:rPr>
        <w:t>В том числе сумма штрафа, наложенная на юридических лиц – 25,3 млн. руб., что составляет 49,0% от общей суммы, наложенной в 2017 году. По сравнению с прошлым годом штраф, присужденный этой категории лиц на 25,6% ниже уровня прошлого года. Уплачено в добровольном и принудительном порядке 9,3 млн. руб., или 36,8% от наложенной суммы.</w:t>
      </w:r>
    </w:p>
    <w:p w:rsidR="007C50D0" w:rsidRPr="007C50D0" w:rsidRDefault="007C50D0" w:rsidP="008619A6">
      <w:pPr>
        <w:ind w:firstLine="900"/>
        <w:contextualSpacing/>
        <w:jc w:val="both"/>
        <w:rPr>
          <w:bCs/>
          <w:sz w:val="28"/>
          <w:szCs w:val="28"/>
        </w:rPr>
      </w:pPr>
      <w:r w:rsidRPr="007C50D0">
        <w:rPr>
          <w:bCs/>
          <w:sz w:val="28"/>
          <w:szCs w:val="28"/>
        </w:rPr>
        <w:t>В общей сложности взыскано принудительно и уплачено добровольно в отчетном периоде в общей сложности 96,7% от наложенной суммы, или 49,9 млн. руб., что на 27,2 млн. руб. больше, чем в 2016 году и в 6,7 раза больше, чем в 2013 году.</w:t>
      </w:r>
    </w:p>
    <w:p w:rsidR="00635ABC" w:rsidRDefault="00635ABC" w:rsidP="008619A6">
      <w:pPr>
        <w:contextualSpacing/>
        <w:jc w:val="center"/>
        <w:rPr>
          <w:b/>
          <w:sz w:val="28"/>
          <w:szCs w:val="28"/>
        </w:rPr>
      </w:pPr>
    </w:p>
    <w:p w:rsidR="007C50D0" w:rsidRPr="007C50D0" w:rsidRDefault="007C50D0" w:rsidP="008619A6">
      <w:pPr>
        <w:contextualSpacing/>
        <w:jc w:val="center"/>
        <w:rPr>
          <w:b/>
          <w:sz w:val="28"/>
          <w:szCs w:val="28"/>
        </w:rPr>
      </w:pPr>
      <w:r w:rsidRPr="007C50D0">
        <w:rPr>
          <w:b/>
          <w:sz w:val="28"/>
          <w:szCs w:val="28"/>
        </w:rPr>
        <w:t>3. Анализ деятельности мировых судей Республики Татарстан</w:t>
      </w:r>
    </w:p>
    <w:p w:rsidR="007C50D0" w:rsidRPr="007C50D0" w:rsidRDefault="007C50D0" w:rsidP="008619A6">
      <w:pPr>
        <w:ind w:firstLine="900"/>
        <w:contextualSpacing/>
        <w:jc w:val="both"/>
        <w:rPr>
          <w:sz w:val="28"/>
          <w:szCs w:val="28"/>
          <w:u w:val="single"/>
        </w:rPr>
      </w:pPr>
      <w:r w:rsidRPr="007C50D0">
        <w:rPr>
          <w:sz w:val="28"/>
          <w:szCs w:val="28"/>
          <w:u w:val="single"/>
        </w:rPr>
        <w:t>Нагрузка</w:t>
      </w:r>
    </w:p>
    <w:p w:rsidR="007C50D0" w:rsidRPr="007C50D0" w:rsidRDefault="007C50D0" w:rsidP="008619A6">
      <w:pPr>
        <w:ind w:firstLine="900"/>
        <w:contextualSpacing/>
        <w:jc w:val="both"/>
        <w:rPr>
          <w:sz w:val="28"/>
          <w:szCs w:val="28"/>
        </w:rPr>
      </w:pPr>
      <w:r w:rsidRPr="007C50D0">
        <w:rPr>
          <w:sz w:val="28"/>
          <w:szCs w:val="28"/>
        </w:rPr>
        <w:t>В 2017 году мировыми судьями рассмотрено:</w:t>
      </w:r>
    </w:p>
    <w:p w:rsidR="007C50D0" w:rsidRPr="007C50D0" w:rsidRDefault="007C50D0" w:rsidP="00335DC8">
      <w:pPr>
        <w:numPr>
          <w:ilvl w:val="0"/>
          <w:numId w:val="11"/>
        </w:numPr>
        <w:contextualSpacing/>
        <w:jc w:val="both"/>
        <w:rPr>
          <w:b/>
          <w:sz w:val="28"/>
          <w:szCs w:val="28"/>
        </w:rPr>
      </w:pPr>
      <w:r w:rsidRPr="007C50D0">
        <w:rPr>
          <w:sz w:val="28"/>
          <w:szCs w:val="28"/>
        </w:rPr>
        <w:t>9487 уголовных дел – на 6,5% меньше, чем в 2016 году;</w:t>
      </w:r>
    </w:p>
    <w:p w:rsidR="007C50D0" w:rsidRPr="007C50D0" w:rsidRDefault="007C50D0" w:rsidP="00335DC8">
      <w:pPr>
        <w:numPr>
          <w:ilvl w:val="0"/>
          <w:numId w:val="11"/>
        </w:numPr>
        <w:contextualSpacing/>
        <w:jc w:val="both"/>
        <w:rPr>
          <w:sz w:val="28"/>
          <w:szCs w:val="28"/>
        </w:rPr>
      </w:pPr>
      <w:r w:rsidRPr="007C50D0">
        <w:rPr>
          <w:sz w:val="28"/>
          <w:szCs w:val="28"/>
        </w:rPr>
        <w:t xml:space="preserve">235971 гражданское дело, что на 7,1% больше, чем в 2016 году; </w:t>
      </w:r>
    </w:p>
    <w:p w:rsidR="007C50D0" w:rsidRPr="007C50D0" w:rsidRDefault="007C50D0" w:rsidP="00335DC8">
      <w:pPr>
        <w:numPr>
          <w:ilvl w:val="0"/>
          <w:numId w:val="11"/>
        </w:numPr>
        <w:contextualSpacing/>
        <w:jc w:val="both"/>
        <w:rPr>
          <w:sz w:val="28"/>
          <w:szCs w:val="28"/>
        </w:rPr>
      </w:pPr>
      <w:r w:rsidRPr="007C50D0">
        <w:rPr>
          <w:sz w:val="28"/>
          <w:szCs w:val="28"/>
        </w:rPr>
        <w:t>88776 административных дел, что на 6,2% больше, чем в 2016 году;</w:t>
      </w:r>
    </w:p>
    <w:p w:rsidR="007C50D0" w:rsidRPr="007C50D0" w:rsidRDefault="007C50D0" w:rsidP="00335DC8">
      <w:pPr>
        <w:numPr>
          <w:ilvl w:val="0"/>
          <w:numId w:val="11"/>
        </w:numPr>
        <w:contextualSpacing/>
        <w:jc w:val="both"/>
        <w:rPr>
          <w:sz w:val="28"/>
          <w:szCs w:val="28"/>
        </w:rPr>
      </w:pPr>
      <w:r w:rsidRPr="007C50D0">
        <w:rPr>
          <w:sz w:val="28"/>
          <w:szCs w:val="28"/>
        </w:rPr>
        <w:t xml:space="preserve">191437 дел об административных правонарушениях, что на 9,5% больше, чем в 2016 году. </w:t>
      </w:r>
    </w:p>
    <w:p w:rsidR="007C50D0" w:rsidRPr="007C50D0" w:rsidRDefault="007C50D0" w:rsidP="008619A6">
      <w:pPr>
        <w:ind w:firstLine="900"/>
        <w:contextualSpacing/>
        <w:jc w:val="center"/>
        <w:rPr>
          <w:sz w:val="28"/>
          <w:szCs w:val="28"/>
          <w:lang w:val="en-US"/>
        </w:rPr>
      </w:pPr>
      <w:r w:rsidRPr="007C50D0">
        <w:rPr>
          <w:sz w:val="24"/>
          <w:szCs w:val="24"/>
        </w:rPr>
        <w:t xml:space="preserve">                                                                                                                        Таблица </w:t>
      </w:r>
      <w:r w:rsidR="006C7CE1">
        <w:rPr>
          <w:sz w:val="24"/>
          <w:szCs w:val="24"/>
        </w:rPr>
        <w:t>3</w:t>
      </w:r>
      <w:r w:rsidRPr="007C50D0">
        <w:rPr>
          <w:sz w:val="24"/>
          <w:szCs w:val="24"/>
        </w:rPr>
        <w:t>2</w:t>
      </w:r>
    </w:p>
    <w:tbl>
      <w:tblPr>
        <w:tblW w:w="9600"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1E0" w:firstRow="1" w:lastRow="1" w:firstColumn="1" w:lastColumn="1" w:noHBand="0" w:noVBand="0"/>
      </w:tblPr>
      <w:tblGrid>
        <w:gridCol w:w="4395"/>
        <w:gridCol w:w="992"/>
        <w:gridCol w:w="1276"/>
        <w:gridCol w:w="992"/>
        <w:gridCol w:w="992"/>
        <w:gridCol w:w="953"/>
      </w:tblGrid>
      <w:tr w:rsidR="007C50D0" w:rsidRPr="007C50D0" w:rsidTr="007C50D0">
        <w:trPr>
          <w:trHeight w:val="103"/>
        </w:trPr>
        <w:tc>
          <w:tcPr>
            <w:tcW w:w="9600" w:type="dxa"/>
            <w:gridSpan w:val="6"/>
            <w:tcBorders>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Количество рассмотренных дел мировыми судьями</w:t>
            </w:r>
          </w:p>
          <w:p w:rsidR="007C50D0" w:rsidRPr="007C50D0" w:rsidRDefault="007C50D0" w:rsidP="008619A6">
            <w:pPr>
              <w:contextualSpacing/>
              <w:jc w:val="center"/>
              <w:rPr>
                <w:b/>
                <w:sz w:val="24"/>
                <w:szCs w:val="24"/>
              </w:rPr>
            </w:pPr>
            <w:r w:rsidRPr="007C50D0">
              <w:rPr>
                <w:b/>
                <w:sz w:val="24"/>
                <w:szCs w:val="24"/>
              </w:rPr>
              <w:t>за 12 месяцев</w:t>
            </w:r>
          </w:p>
        </w:tc>
      </w:tr>
      <w:tr w:rsidR="007C50D0" w:rsidRPr="007C50D0" w:rsidTr="007C50D0">
        <w:trPr>
          <w:trHeight w:val="103"/>
        </w:trPr>
        <w:tc>
          <w:tcPr>
            <w:tcW w:w="4395" w:type="dxa"/>
            <w:tcBorders>
              <w:top w:val="single" w:sz="4" w:space="0" w:color="auto"/>
              <w:bottom w:val="thickThinLargeGap" w:sz="24" w:space="0" w:color="auto"/>
            </w:tcBorders>
            <w:shd w:val="clear" w:color="auto" w:fill="FFFFFF"/>
          </w:tcPr>
          <w:p w:rsidR="007C50D0" w:rsidRPr="007C50D0" w:rsidRDefault="007C50D0" w:rsidP="008619A6">
            <w:pPr>
              <w:contextualSpacing/>
              <w:jc w:val="center"/>
              <w:rPr>
                <w:b/>
                <w:sz w:val="24"/>
                <w:szCs w:val="24"/>
              </w:rPr>
            </w:pPr>
            <w:r w:rsidRPr="007C50D0">
              <w:rPr>
                <w:b/>
                <w:sz w:val="24"/>
                <w:szCs w:val="24"/>
              </w:rPr>
              <w:t>Судопроизводство</w:t>
            </w:r>
          </w:p>
        </w:tc>
        <w:tc>
          <w:tcPr>
            <w:tcW w:w="992" w:type="dxa"/>
            <w:tcBorders>
              <w:top w:val="single" w:sz="4" w:space="0" w:color="auto"/>
              <w:bottom w:val="thickThinLargeGap" w:sz="24" w:space="0" w:color="auto"/>
              <w:right w:val="single" w:sz="4" w:space="0" w:color="auto"/>
            </w:tcBorders>
            <w:shd w:val="clear" w:color="auto" w:fill="FFFFFF"/>
          </w:tcPr>
          <w:p w:rsidR="007C50D0" w:rsidRPr="007C50D0" w:rsidRDefault="007C50D0" w:rsidP="008619A6">
            <w:pPr>
              <w:contextualSpacing/>
              <w:jc w:val="center"/>
              <w:rPr>
                <w:b/>
                <w:sz w:val="24"/>
                <w:szCs w:val="24"/>
              </w:rPr>
            </w:pPr>
            <w:r w:rsidRPr="007C50D0">
              <w:rPr>
                <w:b/>
                <w:sz w:val="24"/>
                <w:szCs w:val="24"/>
              </w:rPr>
              <w:t>2013</w:t>
            </w:r>
          </w:p>
        </w:tc>
        <w:tc>
          <w:tcPr>
            <w:tcW w:w="1276" w:type="dxa"/>
            <w:tcBorders>
              <w:top w:val="single" w:sz="4" w:space="0" w:color="auto"/>
              <w:left w:val="single" w:sz="4" w:space="0" w:color="auto"/>
              <w:bottom w:val="thickThinLargeGap" w:sz="24" w:space="0" w:color="auto"/>
              <w:right w:val="single" w:sz="4" w:space="0" w:color="auto"/>
            </w:tcBorders>
            <w:shd w:val="clear" w:color="auto" w:fill="FFFFFF"/>
          </w:tcPr>
          <w:p w:rsidR="007C50D0" w:rsidRPr="007C50D0" w:rsidRDefault="007C50D0" w:rsidP="008619A6">
            <w:pPr>
              <w:contextualSpacing/>
              <w:jc w:val="center"/>
              <w:rPr>
                <w:b/>
                <w:sz w:val="24"/>
                <w:szCs w:val="24"/>
              </w:rPr>
            </w:pPr>
            <w:r w:rsidRPr="007C50D0">
              <w:rPr>
                <w:b/>
                <w:sz w:val="24"/>
                <w:szCs w:val="24"/>
              </w:rPr>
              <w:t>2014</w:t>
            </w:r>
          </w:p>
        </w:tc>
        <w:tc>
          <w:tcPr>
            <w:tcW w:w="992" w:type="dxa"/>
            <w:tcBorders>
              <w:top w:val="single" w:sz="4" w:space="0" w:color="auto"/>
              <w:left w:val="single" w:sz="4" w:space="0" w:color="auto"/>
              <w:bottom w:val="thickThinLargeGap" w:sz="24" w:space="0" w:color="auto"/>
              <w:right w:val="single" w:sz="4" w:space="0" w:color="auto"/>
            </w:tcBorders>
            <w:shd w:val="clear" w:color="auto" w:fill="FFFFFF"/>
          </w:tcPr>
          <w:p w:rsidR="007C50D0" w:rsidRPr="007C50D0" w:rsidRDefault="007C50D0" w:rsidP="008619A6">
            <w:pPr>
              <w:contextualSpacing/>
              <w:jc w:val="center"/>
              <w:rPr>
                <w:b/>
                <w:sz w:val="24"/>
                <w:szCs w:val="24"/>
              </w:rPr>
            </w:pPr>
            <w:r w:rsidRPr="007C50D0">
              <w:rPr>
                <w:b/>
                <w:sz w:val="24"/>
                <w:szCs w:val="24"/>
              </w:rPr>
              <w:t>2015</w:t>
            </w:r>
          </w:p>
        </w:tc>
        <w:tc>
          <w:tcPr>
            <w:tcW w:w="992" w:type="dxa"/>
            <w:tcBorders>
              <w:top w:val="single" w:sz="4" w:space="0" w:color="auto"/>
              <w:left w:val="single" w:sz="4" w:space="0" w:color="auto"/>
              <w:bottom w:val="thickThinLargeGap" w:sz="24" w:space="0" w:color="auto"/>
              <w:right w:val="single" w:sz="4" w:space="0" w:color="auto"/>
            </w:tcBorders>
            <w:shd w:val="clear" w:color="auto" w:fill="FFFFFF"/>
          </w:tcPr>
          <w:p w:rsidR="007C50D0" w:rsidRPr="007C50D0" w:rsidRDefault="007C50D0" w:rsidP="008619A6">
            <w:pPr>
              <w:contextualSpacing/>
              <w:jc w:val="center"/>
              <w:rPr>
                <w:b/>
                <w:sz w:val="24"/>
                <w:szCs w:val="24"/>
              </w:rPr>
            </w:pPr>
            <w:r w:rsidRPr="007C50D0">
              <w:rPr>
                <w:b/>
                <w:sz w:val="24"/>
                <w:szCs w:val="24"/>
              </w:rPr>
              <w:t>2016</w:t>
            </w:r>
          </w:p>
        </w:tc>
        <w:tc>
          <w:tcPr>
            <w:tcW w:w="953" w:type="dxa"/>
            <w:tcBorders>
              <w:top w:val="single" w:sz="4" w:space="0" w:color="auto"/>
              <w:left w:val="single" w:sz="4" w:space="0" w:color="auto"/>
              <w:bottom w:val="thickThinLargeGap" w:sz="24" w:space="0" w:color="auto"/>
              <w:right w:val="double" w:sz="4" w:space="0" w:color="auto"/>
            </w:tcBorders>
            <w:shd w:val="clear" w:color="auto" w:fill="FFFFFF"/>
          </w:tcPr>
          <w:p w:rsidR="007C50D0" w:rsidRPr="007C50D0" w:rsidRDefault="007C50D0" w:rsidP="008619A6">
            <w:pPr>
              <w:contextualSpacing/>
              <w:jc w:val="center"/>
              <w:rPr>
                <w:b/>
                <w:sz w:val="24"/>
                <w:szCs w:val="24"/>
              </w:rPr>
            </w:pPr>
            <w:r w:rsidRPr="007C50D0">
              <w:rPr>
                <w:b/>
                <w:sz w:val="24"/>
                <w:szCs w:val="24"/>
              </w:rPr>
              <w:t>201</w:t>
            </w:r>
            <w:r w:rsidRPr="007C50D0">
              <w:rPr>
                <w:b/>
                <w:sz w:val="24"/>
                <w:szCs w:val="24"/>
                <w:lang w:val="en-US"/>
              </w:rPr>
              <w:t>7</w:t>
            </w:r>
          </w:p>
        </w:tc>
      </w:tr>
      <w:tr w:rsidR="007C50D0" w:rsidRPr="007C50D0" w:rsidTr="007C50D0">
        <w:trPr>
          <w:trHeight w:val="19"/>
        </w:trPr>
        <w:tc>
          <w:tcPr>
            <w:tcW w:w="4395" w:type="dxa"/>
            <w:tcBorders>
              <w:top w:val="thickThinLargeGap" w:sz="24" w:space="0" w:color="auto"/>
            </w:tcBorders>
            <w:shd w:val="clear" w:color="auto" w:fill="FFFFFF"/>
          </w:tcPr>
          <w:p w:rsidR="007C50D0" w:rsidRPr="007C50D0" w:rsidRDefault="007C50D0" w:rsidP="008619A6">
            <w:pPr>
              <w:contextualSpacing/>
              <w:jc w:val="center"/>
              <w:rPr>
                <w:b/>
                <w:sz w:val="24"/>
                <w:szCs w:val="24"/>
                <w:lang w:val="en-US"/>
              </w:rPr>
            </w:pPr>
            <w:r w:rsidRPr="007C50D0">
              <w:rPr>
                <w:b/>
                <w:sz w:val="24"/>
                <w:szCs w:val="24"/>
              </w:rPr>
              <w:t>Уголовное</w:t>
            </w:r>
          </w:p>
        </w:tc>
        <w:tc>
          <w:tcPr>
            <w:tcW w:w="992" w:type="dxa"/>
            <w:tcBorders>
              <w:top w:val="thickThinLargeGap" w:sz="2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8879</w:t>
            </w:r>
          </w:p>
        </w:tc>
        <w:tc>
          <w:tcPr>
            <w:tcW w:w="1276" w:type="dxa"/>
            <w:tcBorders>
              <w:top w:val="thickThinLargeGap" w:sz="24" w:space="0" w:color="auto"/>
              <w:left w:val="sing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8372</w:t>
            </w:r>
          </w:p>
        </w:tc>
        <w:tc>
          <w:tcPr>
            <w:tcW w:w="992" w:type="dxa"/>
            <w:tcBorders>
              <w:top w:val="thickThinLargeGap" w:sz="24" w:space="0" w:color="auto"/>
              <w:left w:val="sing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9444</w:t>
            </w:r>
          </w:p>
        </w:tc>
        <w:tc>
          <w:tcPr>
            <w:tcW w:w="992" w:type="dxa"/>
            <w:tcBorders>
              <w:top w:val="thickThinLargeGap" w:sz="24" w:space="0" w:color="auto"/>
              <w:left w:val="sing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10142</w:t>
            </w:r>
          </w:p>
        </w:tc>
        <w:tc>
          <w:tcPr>
            <w:tcW w:w="953" w:type="dxa"/>
            <w:tcBorders>
              <w:top w:val="thickThinLargeGap" w:sz="24" w:space="0" w:color="auto"/>
              <w:left w:val="single" w:sz="4" w:space="0" w:color="auto"/>
              <w:right w:val="double" w:sz="4" w:space="0" w:color="auto"/>
            </w:tcBorders>
            <w:shd w:val="clear" w:color="auto" w:fill="FFFFFF"/>
          </w:tcPr>
          <w:p w:rsidR="007C50D0" w:rsidRPr="007C50D0" w:rsidRDefault="007C50D0" w:rsidP="008619A6">
            <w:pPr>
              <w:contextualSpacing/>
              <w:jc w:val="center"/>
              <w:rPr>
                <w:i/>
                <w:sz w:val="24"/>
                <w:szCs w:val="24"/>
                <w:lang w:val="en-US"/>
              </w:rPr>
            </w:pPr>
            <w:r w:rsidRPr="007C50D0">
              <w:rPr>
                <w:i/>
                <w:sz w:val="24"/>
                <w:szCs w:val="24"/>
                <w:lang w:val="en-US"/>
              </w:rPr>
              <w:t>9487</w:t>
            </w:r>
          </w:p>
        </w:tc>
      </w:tr>
      <w:tr w:rsidR="007C50D0" w:rsidRPr="007C50D0" w:rsidTr="007C50D0">
        <w:trPr>
          <w:trHeight w:val="260"/>
        </w:trPr>
        <w:tc>
          <w:tcPr>
            <w:tcW w:w="4395" w:type="dxa"/>
            <w:shd w:val="clear" w:color="auto" w:fill="FFFFFF"/>
          </w:tcPr>
          <w:p w:rsidR="007C50D0" w:rsidRPr="007C50D0" w:rsidRDefault="007C50D0" w:rsidP="008619A6">
            <w:pPr>
              <w:contextualSpacing/>
              <w:jc w:val="center"/>
              <w:rPr>
                <w:b/>
                <w:sz w:val="24"/>
                <w:szCs w:val="24"/>
                <w:lang w:val="en-US"/>
              </w:rPr>
            </w:pPr>
            <w:r w:rsidRPr="007C50D0">
              <w:rPr>
                <w:b/>
                <w:sz w:val="24"/>
                <w:szCs w:val="24"/>
              </w:rPr>
              <w:t>Гражданское</w:t>
            </w:r>
          </w:p>
        </w:tc>
        <w:tc>
          <w:tcPr>
            <w:tcW w:w="992" w:type="dxa"/>
            <w:tcBorders>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345912</w:t>
            </w:r>
          </w:p>
        </w:tc>
        <w:tc>
          <w:tcPr>
            <w:tcW w:w="1276" w:type="dxa"/>
            <w:tcBorders>
              <w:left w:val="sing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271827</w:t>
            </w:r>
          </w:p>
        </w:tc>
        <w:tc>
          <w:tcPr>
            <w:tcW w:w="992" w:type="dxa"/>
            <w:tcBorders>
              <w:left w:val="sing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299351</w:t>
            </w:r>
          </w:p>
        </w:tc>
        <w:tc>
          <w:tcPr>
            <w:tcW w:w="992" w:type="dxa"/>
            <w:tcBorders>
              <w:left w:val="sing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220305</w:t>
            </w:r>
          </w:p>
        </w:tc>
        <w:tc>
          <w:tcPr>
            <w:tcW w:w="953" w:type="dxa"/>
            <w:tcBorders>
              <w:left w:val="single" w:sz="4" w:space="0" w:color="auto"/>
              <w:right w:val="doub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23</w:t>
            </w:r>
            <w:r w:rsidRPr="007C50D0">
              <w:rPr>
                <w:i/>
                <w:sz w:val="24"/>
                <w:szCs w:val="24"/>
                <w:lang w:val="en-US"/>
              </w:rPr>
              <w:t>5971</w:t>
            </w:r>
          </w:p>
        </w:tc>
      </w:tr>
      <w:tr w:rsidR="007C50D0" w:rsidRPr="007C50D0" w:rsidTr="007C50D0">
        <w:trPr>
          <w:trHeight w:val="260"/>
        </w:trPr>
        <w:tc>
          <w:tcPr>
            <w:tcW w:w="4395" w:type="dxa"/>
            <w:shd w:val="clear" w:color="auto" w:fill="FFFFFF"/>
          </w:tcPr>
          <w:p w:rsidR="007C50D0" w:rsidRPr="007C50D0" w:rsidRDefault="007C50D0" w:rsidP="008619A6">
            <w:pPr>
              <w:contextualSpacing/>
              <w:jc w:val="center"/>
              <w:rPr>
                <w:b/>
                <w:sz w:val="24"/>
                <w:szCs w:val="24"/>
              </w:rPr>
            </w:pPr>
            <w:r w:rsidRPr="007C50D0">
              <w:rPr>
                <w:b/>
                <w:sz w:val="24"/>
                <w:szCs w:val="24"/>
              </w:rPr>
              <w:t>Административное</w:t>
            </w:r>
          </w:p>
        </w:tc>
        <w:tc>
          <w:tcPr>
            <w:tcW w:w="992" w:type="dxa"/>
            <w:tcBorders>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0</w:t>
            </w:r>
          </w:p>
        </w:tc>
        <w:tc>
          <w:tcPr>
            <w:tcW w:w="1276" w:type="dxa"/>
            <w:tcBorders>
              <w:left w:val="sing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0</w:t>
            </w:r>
          </w:p>
        </w:tc>
        <w:tc>
          <w:tcPr>
            <w:tcW w:w="992" w:type="dxa"/>
            <w:tcBorders>
              <w:left w:val="sing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0</w:t>
            </w:r>
          </w:p>
        </w:tc>
        <w:tc>
          <w:tcPr>
            <w:tcW w:w="992" w:type="dxa"/>
            <w:tcBorders>
              <w:left w:val="sing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83600</w:t>
            </w:r>
          </w:p>
        </w:tc>
        <w:tc>
          <w:tcPr>
            <w:tcW w:w="953" w:type="dxa"/>
            <w:tcBorders>
              <w:left w:val="single" w:sz="4" w:space="0" w:color="auto"/>
              <w:right w:val="doub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8</w:t>
            </w:r>
            <w:r w:rsidRPr="007C50D0">
              <w:rPr>
                <w:i/>
                <w:sz w:val="24"/>
                <w:szCs w:val="24"/>
                <w:lang w:val="en-US"/>
              </w:rPr>
              <w:t>8776</w:t>
            </w:r>
          </w:p>
        </w:tc>
      </w:tr>
      <w:tr w:rsidR="007C50D0" w:rsidRPr="007C50D0" w:rsidTr="007C50D0">
        <w:trPr>
          <w:trHeight w:val="62"/>
        </w:trPr>
        <w:tc>
          <w:tcPr>
            <w:tcW w:w="4395" w:type="dxa"/>
            <w:shd w:val="clear" w:color="auto" w:fill="FFFFFF"/>
          </w:tcPr>
          <w:p w:rsidR="007C50D0" w:rsidRPr="007C50D0" w:rsidRDefault="007C50D0" w:rsidP="008619A6">
            <w:pPr>
              <w:contextualSpacing/>
              <w:jc w:val="center"/>
              <w:rPr>
                <w:b/>
                <w:sz w:val="24"/>
                <w:szCs w:val="24"/>
                <w:lang w:val="en-US"/>
              </w:rPr>
            </w:pPr>
            <w:r w:rsidRPr="007C50D0">
              <w:rPr>
                <w:b/>
                <w:sz w:val="24"/>
                <w:szCs w:val="24"/>
              </w:rPr>
              <w:t>Производство об АП</w:t>
            </w:r>
          </w:p>
        </w:tc>
        <w:tc>
          <w:tcPr>
            <w:tcW w:w="992" w:type="dxa"/>
            <w:tcBorders>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140494</w:t>
            </w:r>
          </w:p>
        </w:tc>
        <w:tc>
          <w:tcPr>
            <w:tcW w:w="1276" w:type="dxa"/>
            <w:tcBorders>
              <w:left w:val="single" w:sz="4" w:space="0" w:color="auto"/>
              <w:bottom w:val="doub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169866</w:t>
            </w:r>
          </w:p>
        </w:tc>
        <w:tc>
          <w:tcPr>
            <w:tcW w:w="992" w:type="dxa"/>
            <w:tcBorders>
              <w:left w:val="single" w:sz="4" w:space="0" w:color="auto"/>
              <w:bottom w:val="doub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164198</w:t>
            </w:r>
          </w:p>
        </w:tc>
        <w:tc>
          <w:tcPr>
            <w:tcW w:w="992" w:type="dxa"/>
            <w:tcBorders>
              <w:left w:val="single" w:sz="4" w:space="0" w:color="auto"/>
              <w:bottom w:val="doub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174870</w:t>
            </w:r>
          </w:p>
        </w:tc>
        <w:tc>
          <w:tcPr>
            <w:tcW w:w="953" w:type="dxa"/>
            <w:tcBorders>
              <w:left w:val="single" w:sz="4" w:space="0" w:color="auto"/>
              <w:bottom w:val="double" w:sz="4" w:space="0" w:color="auto"/>
              <w:right w:val="double" w:sz="4" w:space="0" w:color="auto"/>
            </w:tcBorders>
            <w:shd w:val="clear" w:color="auto" w:fill="FFFFFF"/>
          </w:tcPr>
          <w:p w:rsidR="007C50D0" w:rsidRPr="007C50D0" w:rsidRDefault="007C50D0" w:rsidP="008619A6">
            <w:pPr>
              <w:contextualSpacing/>
              <w:jc w:val="center"/>
              <w:rPr>
                <w:i/>
                <w:sz w:val="24"/>
                <w:szCs w:val="24"/>
                <w:lang w:val="en-US"/>
              </w:rPr>
            </w:pPr>
            <w:r w:rsidRPr="007C50D0">
              <w:rPr>
                <w:i/>
                <w:sz w:val="24"/>
                <w:szCs w:val="24"/>
              </w:rPr>
              <w:t>1</w:t>
            </w:r>
            <w:r w:rsidRPr="007C50D0">
              <w:rPr>
                <w:i/>
                <w:sz w:val="24"/>
                <w:szCs w:val="24"/>
                <w:lang w:val="en-US"/>
              </w:rPr>
              <w:t>91437</w:t>
            </w:r>
          </w:p>
        </w:tc>
      </w:tr>
    </w:tbl>
    <w:p w:rsidR="00635ABC" w:rsidRDefault="00635ABC" w:rsidP="008619A6">
      <w:pPr>
        <w:ind w:firstLine="960"/>
        <w:contextualSpacing/>
        <w:jc w:val="both"/>
        <w:rPr>
          <w:bCs/>
          <w:color w:val="000000"/>
          <w:sz w:val="28"/>
          <w:szCs w:val="28"/>
        </w:rPr>
      </w:pPr>
    </w:p>
    <w:p w:rsidR="007C50D0" w:rsidRDefault="007C50D0" w:rsidP="008619A6">
      <w:pPr>
        <w:ind w:firstLine="960"/>
        <w:contextualSpacing/>
        <w:jc w:val="both"/>
        <w:rPr>
          <w:bCs/>
          <w:color w:val="000000"/>
          <w:sz w:val="28"/>
          <w:szCs w:val="28"/>
        </w:rPr>
      </w:pPr>
      <w:r w:rsidRPr="007C50D0">
        <w:rPr>
          <w:bCs/>
          <w:color w:val="000000"/>
          <w:sz w:val="28"/>
          <w:szCs w:val="28"/>
        </w:rPr>
        <w:t>Представленный график в рамках пятилетнего периода демонстрирует незначительное увеличение количества рассмотренных уголовных дел. Количество гражданских дел по сравнению с 2013 годом значительно уменьшилось – на 46,6% (в связи с выделением административных дел в отдельное производство). Количество административных дел по сравнению с 2016 годом увеличилось на 6,2%. Наблюдается значительное увеличение дел об административных правонарушениях: по отношению к 2013 году их количество выросло на 9,5%.</w:t>
      </w:r>
    </w:p>
    <w:p w:rsidR="00635ABC" w:rsidRPr="007C50D0" w:rsidRDefault="00635ABC" w:rsidP="008619A6">
      <w:pPr>
        <w:ind w:firstLine="960"/>
        <w:contextualSpacing/>
        <w:jc w:val="both"/>
        <w:rPr>
          <w:bCs/>
          <w:color w:val="000000"/>
          <w:sz w:val="28"/>
          <w:szCs w:val="28"/>
        </w:rPr>
      </w:pPr>
    </w:p>
    <w:p w:rsidR="007C50D0" w:rsidRPr="007C50D0" w:rsidRDefault="007C50D0" w:rsidP="008619A6">
      <w:pPr>
        <w:ind w:firstLine="851"/>
        <w:contextualSpacing/>
        <w:jc w:val="both"/>
        <w:rPr>
          <w:sz w:val="24"/>
          <w:szCs w:val="24"/>
        </w:rPr>
      </w:pPr>
      <w:r w:rsidRPr="007C50D0">
        <w:rPr>
          <w:sz w:val="24"/>
          <w:szCs w:val="24"/>
        </w:rPr>
        <w:lastRenderedPageBreak/>
        <w:t xml:space="preserve">                                                                                                                     График 1</w:t>
      </w:r>
      <w:r w:rsidR="006C7CE1">
        <w:rPr>
          <w:sz w:val="24"/>
          <w:szCs w:val="24"/>
        </w:rPr>
        <w:t>3</w:t>
      </w:r>
    </w:p>
    <w:p w:rsidR="007C50D0" w:rsidRPr="007C50D0" w:rsidRDefault="007C50D0" w:rsidP="008619A6">
      <w:pPr>
        <w:ind w:firstLine="851"/>
        <w:contextualSpacing/>
        <w:jc w:val="both"/>
        <w:rPr>
          <w:sz w:val="24"/>
          <w:szCs w:val="24"/>
        </w:rPr>
      </w:pPr>
      <w:r>
        <w:rPr>
          <w:noProof/>
        </w:rPr>
        <w:drawing>
          <wp:inline distT="0" distB="0" distL="0" distR="0" wp14:anchorId="1CD3574E" wp14:editId="72C91CDB">
            <wp:extent cx="5016843" cy="2496065"/>
            <wp:effectExtent l="0" t="0" r="12700" b="1905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A3630" w:rsidRDefault="006A3630" w:rsidP="008619A6">
      <w:pPr>
        <w:ind w:firstLine="960"/>
        <w:contextualSpacing/>
        <w:jc w:val="both"/>
        <w:rPr>
          <w:bCs/>
          <w:sz w:val="28"/>
          <w:szCs w:val="28"/>
        </w:rPr>
      </w:pPr>
    </w:p>
    <w:p w:rsidR="007C50D0" w:rsidRPr="007C50D0" w:rsidRDefault="006A3630" w:rsidP="008619A6">
      <w:pPr>
        <w:ind w:firstLine="960"/>
        <w:contextualSpacing/>
        <w:jc w:val="both"/>
        <w:rPr>
          <w:bCs/>
          <w:sz w:val="28"/>
          <w:szCs w:val="28"/>
        </w:rPr>
      </w:pPr>
      <w:r>
        <w:rPr>
          <w:bCs/>
          <w:sz w:val="28"/>
          <w:szCs w:val="28"/>
        </w:rPr>
        <w:t>Г</w:t>
      </w:r>
      <w:r w:rsidR="007C50D0" w:rsidRPr="007C50D0">
        <w:rPr>
          <w:bCs/>
          <w:sz w:val="28"/>
          <w:szCs w:val="28"/>
        </w:rPr>
        <w:t>рафик</w:t>
      </w:r>
      <w:r>
        <w:rPr>
          <w:bCs/>
          <w:sz w:val="28"/>
          <w:szCs w:val="28"/>
        </w:rPr>
        <w:t xml:space="preserve"> 14</w:t>
      </w:r>
      <w:r w:rsidR="007C50D0" w:rsidRPr="007C50D0">
        <w:rPr>
          <w:bCs/>
          <w:sz w:val="28"/>
          <w:szCs w:val="28"/>
        </w:rPr>
        <w:t xml:space="preserve"> демонстрирует также высокую загруженность мировых судей республики. В частности, в 2017 году в общей массе дел, рассматриваемых районными (городскими) судами и мировыми судьями республики, доля дел, рассмотренных на судебных участках, составляет в уголовном судопроизводстве – 46%, в гражданском судопроизводстве – 71,9%, в административном судопроизводстве – 89,3%, а в производстве по делам об административных правонарушениях – 89,9%. </w:t>
      </w:r>
    </w:p>
    <w:p w:rsidR="007C50D0" w:rsidRPr="007C50D0" w:rsidRDefault="007C50D0" w:rsidP="008619A6">
      <w:pPr>
        <w:ind w:firstLine="960"/>
        <w:contextualSpacing/>
        <w:jc w:val="both"/>
        <w:rPr>
          <w:bCs/>
          <w:color w:val="000000"/>
          <w:sz w:val="28"/>
          <w:szCs w:val="28"/>
        </w:rPr>
      </w:pPr>
      <w:r w:rsidRPr="007C50D0">
        <w:rPr>
          <w:bCs/>
          <w:color w:val="000000"/>
          <w:sz w:val="28"/>
          <w:szCs w:val="28"/>
        </w:rPr>
        <w:t xml:space="preserve">Данные Таблицы </w:t>
      </w:r>
      <w:r w:rsidR="006A3630">
        <w:rPr>
          <w:bCs/>
          <w:color w:val="000000"/>
          <w:sz w:val="28"/>
          <w:szCs w:val="28"/>
        </w:rPr>
        <w:t>33</w:t>
      </w:r>
      <w:r w:rsidRPr="007C50D0">
        <w:rPr>
          <w:bCs/>
          <w:color w:val="000000"/>
          <w:sz w:val="28"/>
          <w:szCs w:val="28"/>
        </w:rPr>
        <w:t xml:space="preserve"> и Графика 1</w:t>
      </w:r>
      <w:r w:rsidR="006A3630">
        <w:rPr>
          <w:bCs/>
          <w:color w:val="000000"/>
          <w:sz w:val="28"/>
          <w:szCs w:val="28"/>
        </w:rPr>
        <w:t>4</w:t>
      </w:r>
      <w:r w:rsidRPr="007C50D0">
        <w:rPr>
          <w:bCs/>
          <w:color w:val="000000"/>
          <w:sz w:val="28"/>
          <w:szCs w:val="28"/>
        </w:rPr>
        <w:t xml:space="preserve"> демонстрируют увеличение доли дел, рассмотренных мировыми судьями республики, как в уголовном, гражданском, административном, так и </w:t>
      </w:r>
      <w:r w:rsidRPr="007C50D0">
        <w:rPr>
          <w:bCs/>
          <w:sz w:val="28"/>
          <w:szCs w:val="28"/>
        </w:rPr>
        <w:t>в производстве по делам об административных правонарушениях</w:t>
      </w:r>
      <w:r w:rsidRPr="007C50D0">
        <w:rPr>
          <w:bCs/>
          <w:color w:val="000000"/>
          <w:sz w:val="28"/>
          <w:szCs w:val="28"/>
        </w:rPr>
        <w:t>, на протяжении пятилетнего интервала наблюдения.</w:t>
      </w:r>
    </w:p>
    <w:p w:rsidR="007C50D0" w:rsidRPr="007C50D0" w:rsidRDefault="007C50D0" w:rsidP="008619A6">
      <w:pPr>
        <w:ind w:firstLine="900"/>
        <w:contextualSpacing/>
        <w:jc w:val="both"/>
        <w:rPr>
          <w:sz w:val="24"/>
          <w:szCs w:val="24"/>
        </w:rPr>
      </w:pPr>
      <w:r w:rsidRPr="007C50D0">
        <w:rPr>
          <w:sz w:val="24"/>
          <w:szCs w:val="24"/>
        </w:rPr>
        <w:t xml:space="preserve">                                                                                                                       Таблица </w:t>
      </w:r>
      <w:r w:rsidR="006C7CE1">
        <w:rPr>
          <w:sz w:val="24"/>
          <w:szCs w:val="24"/>
        </w:rPr>
        <w:t>33</w:t>
      </w:r>
    </w:p>
    <w:tbl>
      <w:tblPr>
        <w:tblW w:w="9239" w:type="dxa"/>
        <w:tblInd w:w="250"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1E0" w:firstRow="1" w:lastRow="1" w:firstColumn="1" w:lastColumn="1" w:noHBand="0" w:noVBand="0"/>
      </w:tblPr>
      <w:tblGrid>
        <w:gridCol w:w="3402"/>
        <w:gridCol w:w="1134"/>
        <w:gridCol w:w="992"/>
        <w:gridCol w:w="1276"/>
        <w:gridCol w:w="1276"/>
        <w:gridCol w:w="1159"/>
      </w:tblGrid>
      <w:tr w:rsidR="007C50D0" w:rsidRPr="007C50D0" w:rsidTr="006A3630">
        <w:trPr>
          <w:trHeight w:val="42"/>
        </w:trPr>
        <w:tc>
          <w:tcPr>
            <w:tcW w:w="9239" w:type="dxa"/>
            <w:gridSpan w:val="6"/>
            <w:tcBorders>
              <w:top w:val="double" w:sz="4" w:space="0" w:color="auto"/>
              <w:bottom w:val="single" w:sz="4" w:space="0" w:color="auto"/>
            </w:tcBorders>
            <w:shd w:val="clear" w:color="auto" w:fill="FFFFFF"/>
            <w:vAlign w:val="center"/>
          </w:tcPr>
          <w:p w:rsidR="007C50D0" w:rsidRPr="007C50D0" w:rsidRDefault="007C50D0" w:rsidP="008619A6">
            <w:pPr>
              <w:ind w:left="-392" w:firstLine="392"/>
              <w:contextualSpacing/>
              <w:jc w:val="center"/>
              <w:rPr>
                <w:b/>
                <w:sz w:val="24"/>
                <w:szCs w:val="24"/>
              </w:rPr>
            </w:pPr>
            <w:r w:rsidRPr="007C50D0">
              <w:rPr>
                <w:b/>
                <w:sz w:val="24"/>
                <w:szCs w:val="24"/>
              </w:rPr>
              <w:t>Общее количество рассмотренных дел за 12 месяцев</w:t>
            </w:r>
          </w:p>
        </w:tc>
      </w:tr>
      <w:tr w:rsidR="007C50D0" w:rsidRPr="007C50D0" w:rsidTr="006A3630">
        <w:trPr>
          <w:trHeight w:val="62"/>
        </w:trPr>
        <w:tc>
          <w:tcPr>
            <w:tcW w:w="3402" w:type="dxa"/>
            <w:tcBorders>
              <w:top w:val="single" w:sz="4" w:space="0" w:color="auto"/>
              <w:bottom w:val="thickThinLargeGap" w:sz="24" w:space="0" w:color="auto"/>
            </w:tcBorders>
            <w:shd w:val="clear" w:color="auto" w:fill="FFFFFF"/>
            <w:vAlign w:val="center"/>
          </w:tcPr>
          <w:p w:rsidR="007C50D0" w:rsidRPr="007C50D0" w:rsidRDefault="007C50D0" w:rsidP="008619A6">
            <w:pPr>
              <w:ind w:left="-392" w:firstLine="392"/>
              <w:contextualSpacing/>
              <w:jc w:val="center"/>
              <w:rPr>
                <w:sz w:val="24"/>
                <w:szCs w:val="24"/>
              </w:rPr>
            </w:pPr>
          </w:p>
        </w:tc>
        <w:tc>
          <w:tcPr>
            <w:tcW w:w="1134" w:type="dxa"/>
            <w:tcBorders>
              <w:top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
                <w:sz w:val="24"/>
                <w:szCs w:val="24"/>
              </w:rPr>
            </w:pPr>
            <w:r w:rsidRPr="007C50D0">
              <w:rPr>
                <w:b/>
                <w:sz w:val="24"/>
                <w:szCs w:val="24"/>
              </w:rPr>
              <w:t>2013</w:t>
            </w:r>
          </w:p>
        </w:tc>
        <w:tc>
          <w:tcPr>
            <w:tcW w:w="992"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
                <w:sz w:val="24"/>
                <w:szCs w:val="24"/>
              </w:rPr>
            </w:pPr>
            <w:r w:rsidRPr="007C50D0">
              <w:rPr>
                <w:b/>
                <w:sz w:val="24"/>
                <w:szCs w:val="24"/>
              </w:rPr>
              <w:t>2014</w:t>
            </w:r>
          </w:p>
        </w:tc>
        <w:tc>
          <w:tcPr>
            <w:tcW w:w="1276"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
                <w:sz w:val="24"/>
                <w:szCs w:val="24"/>
              </w:rPr>
            </w:pPr>
            <w:r w:rsidRPr="007C50D0">
              <w:rPr>
                <w:b/>
                <w:sz w:val="24"/>
                <w:szCs w:val="24"/>
              </w:rPr>
              <w:t>2015</w:t>
            </w:r>
          </w:p>
        </w:tc>
        <w:tc>
          <w:tcPr>
            <w:tcW w:w="1276"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
                <w:sz w:val="24"/>
                <w:szCs w:val="24"/>
              </w:rPr>
            </w:pPr>
            <w:r w:rsidRPr="007C50D0">
              <w:rPr>
                <w:b/>
                <w:sz w:val="24"/>
                <w:szCs w:val="24"/>
              </w:rPr>
              <w:t>2016</w:t>
            </w:r>
          </w:p>
        </w:tc>
        <w:tc>
          <w:tcPr>
            <w:tcW w:w="1159" w:type="dxa"/>
            <w:tcBorders>
              <w:top w:val="single" w:sz="4" w:space="0" w:color="auto"/>
              <w:left w:val="single" w:sz="4" w:space="0" w:color="auto"/>
              <w:bottom w:val="thickThinLargeGap" w:sz="24" w:space="0" w:color="auto"/>
            </w:tcBorders>
            <w:shd w:val="clear" w:color="auto" w:fill="FFFFFF"/>
            <w:vAlign w:val="center"/>
          </w:tcPr>
          <w:p w:rsidR="007C50D0" w:rsidRPr="007C50D0" w:rsidRDefault="007C50D0" w:rsidP="008619A6">
            <w:pPr>
              <w:ind w:left="-392" w:firstLine="392"/>
              <w:contextualSpacing/>
              <w:jc w:val="center"/>
              <w:rPr>
                <w:b/>
                <w:sz w:val="24"/>
                <w:szCs w:val="24"/>
              </w:rPr>
            </w:pPr>
            <w:r w:rsidRPr="007C50D0">
              <w:rPr>
                <w:b/>
                <w:sz w:val="24"/>
                <w:szCs w:val="24"/>
              </w:rPr>
              <w:t>2017</w:t>
            </w:r>
          </w:p>
        </w:tc>
      </w:tr>
      <w:tr w:rsidR="007C50D0" w:rsidRPr="007C50D0" w:rsidTr="006A3630">
        <w:trPr>
          <w:trHeight w:val="70"/>
        </w:trPr>
        <w:tc>
          <w:tcPr>
            <w:tcW w:w="3402" w:type="dxa"/>
            <w:tcBorders>
              <w:top w:val="thickThinLargeGap" w:sz="24" w:space="0" w:color="auto"/>
              <w:bottom w:val="single" w:sz="4" w:space="0" w:color="auto"/>
            </w:tcBorders>
            <w:shd w:val="clear" w:color="auto" w:fill="FFFFFF"/>
            <w:vAlign w:val="center"/>
          </w:tcPr>
          <w:p w:rsidR="007C50D0" w:rsidRPr="007C50D0" w:rsidRDefault="007C50D0" w:rsidP="008619A6">
            <w:pPr>
              <w:ind w:left="-392" w:firstLine="392"/>
              <w:contextualSpacing/>
              <w:jc w:val="center"/>
              <w:rPr>
                <w:b/>
                <w:sz w:val="24"/>
                <w:szCs w:val="24"/>
              </w:rPr>
            </w:pPr>
            <w:r w:rsidRPr="007C50D0">
              <w:rPr>
                <w:b/>
                <w:sz w:val="24"/>
                <w:szCs w:val="24"/>
              </w:rPr>
              <w:t>Уголовные (всего)</w:t>
            </w:r>
          </w:p>
        </w:tc>
        <w:tc>
          <w:tcPr>
            <w:tcW w:w="1134" w:type="dxa"/>
            <w:tcBorders>
              <w:top w:val="thickThinLargeGap" w:sz="24" w:space="0" w:color="auto"/>
              <w:bottom w:val="single" w:sz="4" w:space="0" w:color="auto"/>
              <w:right w:val="single" w:sz="4" w:space="0" w:color="auto"/>
            </w:tcBorders>
            <w:shd w:val="clear" w:color="auto" w:fill="FFFFFF"/>
            <w:vAlign w:val="center"/>
          </w:tcPr>
          <w:p w:rsidR="007C50D0" w:rsidRPr="006A3630" w:rsidRDefault="007C50D0" w:rsidP="008619A6">
            <w:pPr>
              <w:ind w:left="-392" w:firstLine="392"/>
              <w:contextualSpacing/>
              <w:jc w:val="center"/>
              <w:rPr>
                <w:b/>
                <w:bCs/>
                <w:i/>
                <w:sz w:val="24"/>
                <w:szCs w:val="24"/>
              </w:rPr>
            </w:pPr>
            <w:r w:rsidRPr="006A3630">
              <w:rPr>
                <w:b/>
                <w:bCs/>
                <w:i/>
                <w:sz w:val="24"/>
                <w:szCs w:val="24"/>
              </w:rPr>
              <w:t>19805</w:t>
            </w:r>
          </w:p>
        </w:tc>
        <w:tc>
          <w:tcPr>
            <w:tcW w:w="992" w:type="dxa"/>
            <w:tcBorders>
              <w:top w:val="thickThinLargeGap" w:sz="24" w:space="0" w:color="auto"/>
              <w:left w:val="single" w:sz="4" w:space="0" w:color="auto"/>
              <w:bottom w:val="single" w:sz="4" w:space="0" w:color="auto"/>
              <w:right w:val="single" w:sz="4" w:space="0" w:color="auto"/>
            </w:tcBorders>
            <w:shd w:val="clear" w:color="auto" w:fill="FFFFFF"/>
            <w:vAlign w:val="center"/>
          </w:tcPr>
          <w:p w:rsidR="007C50D0" w:rsidRPr="006A3630" w:rsidRDefault="007C50D0" w:rsidP="008619A6">
            <w:pPr>
              <w:ind w:left="-392" w:firstLine="392"/>
              <w:contextualSpacing/>
              <w:jc w:val="center"/>
              <w:rPr>
                <w:b/>
                <w:bCs/>
                <w:i/>
                <w:sz w:val="24"/>
                <w:szCs w:val="24"/>
              </w:rPr>
            </w:pPr>
            <w:r w:rsidRPr="006A3630">
              <w:rPr>
                <w:b/>
                <w:bCs/>
                <w:i/>
                <w:sz w:val="24"/>
                <w:szCs w:val="24"/>
              </w:rPr>
              <w:t>18461</w:t>
            </w:r>
          </w:p>
        </w:tc>
        <w:tc>
          <w:tcPr>
            <w:tcW w:w="1276" w:type="dxa"/>
            <w:tcBorders>
              <w:top w:val="thickThinLargeGap" w:sz="24" w:space="0" w:color="auto"/>
              <w:left w:val="single" w:sz="4" w:space="0" w:color="auto"/>
              <w:bottom w:val="single" w:sz="4" w:space="0" w:color="auto"/>
              <w:right w:val="single" w:sz="4" w:space="0" w:color="auto"/>
            </w:tcBorders>
            <w:shd w:val="clear" w:color="auto" w:fill="FFFFFF"/>
            <w:vAlign w:val="center"/>
          </w:tcPr>
          <w:p w:rsidR="007C50D0" w:rsidRPr="006A3630" w:rsidRDefault="007C50D0" w:rsidP="008619A6">
            <w:pPr>
              <w:ind w:left="-392" w:firstLine="392"/>
              <w:contextualSpacing/>
              <w:jc w:val="center"/>
              <w:rPr>
                <w:b/>
                <w:bCs/>
                <w:i/>
                <w:sz w:val="24"/>
                <w:szCs w:val="24"/>
              </w:rPr>
            </w:pPr>
            <w:r w:rsidRPr="006A3630">
              <w:rPr>
                <w:b/>
                <w:bCs/>
                <w:i/>
                <w:sz w:val="24"/>
                <w:szCs w:val="24"/>
              </w:rPr>
              <w:t>19966</w:t>
            </w:r>
          </w:p>
        </w:tc>
        <w:tc>
          <w:tcPr>
            <w:tcW w:w="1276" w:type="dxa"/>
            <w:tcBorders>
              <w:top w:val="thickThinLargeGap" w:sz="24" w:space="0" w:color="auto"/>
              <w:left w:val="single" w:sz="4" w:space="0" w:color="auto"/>
              <w:bottom w:val="single" w:sz="4" w:space="0" w:color="auto"/>
              <w:right w:val="single" w:sz="4" w:space="0" w:color="auto"/>
            </w:tcBorders>
            <w:shd w:val="clear" w:color="auto" w:fill="FFFFFF"/>
            <w:vAlign w:val="center"/>
          </w:tcPr>
          <w:p w:rsidR="007C50D0" w:rsidRPr="006A3630" w:rsidRDefault="007C50D0" w:rsidP="008619A6">
            <w:pPr>
              <w:ind w:left="-392" w:firstLine="392"/>
              <w:contextualSpacing/>
              <w:jc w:val="center"/>
              <w:rPr>
                <w:b/>
                <w:bCs/>
                <w:i/>
                <w:sz w:val="24"/>
                <w:szCs w:val="24"/>
              </w:rPr>
            </w:pPr>
            <w:r w:rsidRPr="006A3630">
              <w:rPr>
                <w:b/>
                <w:bCs/>
                <w:i/>
                <w:sz w:val="24"/>
                <w:szCs w:val="24"/>
              </w:rPr>
              <w:t>20766</w:t>
            </w:r>
          </w:p>
        </w:tc>
        <w:tc>
          <w:tcPr>
            <w:tcW w:w="1159" w:type="dxa"/>
            <w:tcBorders>
              <w:top w:val="thickThinLargeGap" w:sz="24" w:space="0" w:color="auto"/>
              <w:left w:val="single" w:sz="4" w:space="0" w:color="auto"/>
              <w:bottom w:val="single" w:sz="4" w:space="0" w:color="auto"/>
            </w:tcBorders>
            <w:shd w:val="clear" w:color="auto" w:fill="FFFFFF"/>
            <w:vAlign w:val="center"/>
          </w:tcPr>
          <w:p w:rsidR="007C50D0" w:rsidRPr="006A3630" w:rsidRDefault="007C50D0" w:rsidP="008619A6">
            <w:pPr>
              <w:ind w:left="-392" w:firstLine="392"/>
              <w:contextualSpacing/>
              <w:jc w:val="center"/>
              <w:rPr>
                <w:b/>
                <w:bCs/>
                <w:i/>
                <w:sz w:val="24"/>
                <w:szCs w:val="24"/>
              </w:rPr>
            </w:pPr>
            <w:r w:rsidRPr="006A3630">
              <w:rPr>
                <w:b/>
                <w:bCs/>
                <w:i/>
                <w:sz w:val="24"/>
                <w:szCs w:val="24"/>
              </w:rPr>
              <w:t>20628</w:t>
            </w:r>
          </w:p>
        </w:tc>
      </w:tr>
      <w:tr w:rsidR="007C50D0" w:rsidRPr="007C50D0" w:rsidTr="006A3630">
        <w:trPr>
          <w:trHeight w:val="72"/>
        </w:trPr>
        <w:tc>
          <w:tcPr>
            <w:tcW w:w="3402" w:type="dxa"/>
            <w:tcBorders>
              <w:top w:val="single" w:sz="4" w:space="0" w:color="auto"/>
              <w:bottom w:val="dotted" w:sz="4" w:space="0" w:color="auto"/>
            </w:tcBorders>
            <w:shd w:val="clear" w:color="auto" w:fill="FFFFFF"/>
            <w:vAlign w:val="center"/>
          </w:tcPr>
          <w:p w:rsidR="007C50D0" w:rsidRPr="006A3630" w:rsidRDefault="007C50D0" w:rsidP="008619A6">
            <w:pPr>
              <w:ind w:left="-392" w:firstLine="392"/>
              <w:contextualSpacing/>
              <w:jc w:val="center"/>
              <w:rPr>
                <w:sz w:val="24"/>
                <w:szCs w:val="24"/>
              </w:rPr>
            </w:pPr>
            <w:r w:rsidRPr="006A3630">
              <w:rPr>
                <w:sz w:val="24"/>
                <w:szCs w:val="24"/>
              </w:rPr>
              <w:t>Федеральные</w:t>
            </w:r>
          </w:p>
        </w:tc>
        <w:tc>
          <w:tcPr>
            <w:tcW w:w="1134"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10926</w:t>
            </w:r>
          </w:p>
        </w:tc>
        <w:tc>
          <w:tcPr>
            <w:tcW w:w="99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10089</w:t>
            </w:r>
          </w:p>
        </w:tc>
        <w:tc>
          <w:tcPr>
            <w:tcW w:w="1276"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10522</w:t>
            </w:r>
          </w:p>
        </w:tc>
        <w:tc>
          <w:tcPr>
            <w:tcW w:w="1276"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10624</w:t>
            </w:r>
          </w:p>
        </w:tc>
        <w:tc>
          <w:tcPr>
            <w:tcW w:w="1159"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11141</w:t>
            </w:r>
          </w:p>
        </w:tc>
      </w:tr>
      <w:tr w:rsidR="007C50D0" w:rsidRPr="007C50D0" w:rsidTr="006A3630">
        <w:trPr>
          <w:trHeight w:val="62"/>
        </w:trPr>
        <w:tc>
          <w:tcPr>
            <w:tcW w:w="3402" w:type="dxa"/>
            <w:tcBorders>
              <w:top w:val="dotted" w:sz="4" w:space="0" w:color="auto"/>
              <w:bottom w:val="nil"/>
            </w:tcBorders>
            <w:shd w:val="clear" w:color="auto" w:fill="FFFFFF"/>
            <w:vAlign w:val="center"/>
          </w:tcPr>
          <w:p w:rsidR="007C50D0" w:rsidRPr="006A3630" w:rsidRDefault="007C50D0" w:rsidP="008619A6">
            <w:pPr>
              <w:ind w:left="-392" w:firstLine="392"/>
              <w:contextualSpacing/>
              <w:jc w:val="center"/>
              <w:rPr>
                <w:sz w:val="24"/>
                <w:szCs w:val="24"/>
              </w:rPr>
            </w:pPr>
            <w:r w:rsidRPr="006A3630">
              <w:rPr>
                <w:sz w:val="24"/>
                <w:szCs w:val="24"/>
              </w:rPr>
              <w:t>Мировые</w:t>
            </w:r>
          </w:p>
        </w:tc>
        <w:tc>
          <w:tcPr>
            <w:tcW w:w="1134" w:type="dxa"/>
            <w:tcBorders>
              <w:top w:val="dotted"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8879</w:t>
            </w:r>
          </w:p>
        </w:tc>
        <w:tc>
          <w:tcPr>
            <w:tcW w:w="992" w:type="dxa"/>
            <w:tcBorders>
              <w:top w:val="dotted" w:sz="4" w:space="0" w:color="auto"/>
              <w:left w:val="single"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8372</w:t>
            </w:r>
          </w:p>
        </w:tc>
        <w:tc>
          <w:tcPr>
            <w:tcW w:w="1276" w:type="dxa"/>
            <w:tcBorders>
              <w:top w:val="dotted" w:sz="4" w:space="0" w:color="auto"/>
              <w:left w:val="single"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9444</w:t>
            </w:r>
          </w:p>
        </w:tc>
        <w:tc>
          <w:tcPr>
            <w:tcW w:w="1276" w:type="dxa"/>
            <w:tcBorders>
              <w:top w:val="dotted" w:sz="4" w:space="0" w:color="auto"/>
              <w:left w:val="single"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10142</w:t>
            </w:r>
          </w:p>
        </w:tc>
        <w:tc>
          <w:tcPr>
            <w:tcW w:w="1159" w:type="dxa"/>
            <w:tcBorders>
              <w:top w:val="dotted" w:sz="4" w:space="0" w:color="auto"/>
              <w:left w:val="single" w:sz="4" w:space="0" w:color="auto"/>
              <w:bottom w:val="nil"/>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9487</w:t>
            </w:r>
          </w:p>
        </w:tc>
      </w:tr>
      <w:tr w:rsidR="007C50D0" w:rsidRPr="007C50D0" w:rsidTr="006A3630">
        <w:trPr>
          <w:trHeight w:val="66"/>
        </w:trPr>
        <w:tc>
          <w:tcPr>
            <w:tcW w:w="3402" w:type="dxa"/>
            <w:tcBorders>
              <w:top w:val="nil"/>
              <w:bottom w:val="double" w:sz="4" w:space="0" w:color="auto"/>
            </w:tcBorders>
            <w:shd w:val="clear" w:color="auto" w:fill="FFFFFF"/>
            <w:vAlign w:val="center"/>
          </w:tcPr>
          <w:p w:rsidR="007C50D0" w:rsidRPr="006A3630" w:rsidRDefault="007C50D0" w:rsidP="008619A6">
            <w:pPr>
              <w:ind w:left="-392" w:firstLine="392"/>
              <w:contextualSpacing/>
              <w:jc w:val="center"/>
              <w:rPr>
                <w:sz w:val="24"/>
                <w:szCs w:val="24"/>
              </w:rPr>
            </w:pPr>
            <w:r w:rsidRPr="006A3630">
              <w:rPr>
                <w:sz w:val="24"/>
                <w:szCs w:val="24"/>
              </w:rPr>
              <w:t>%</w:t>
            </w:r>
          </w:p>
        </w:tc>
        <w:tc>
          <w:tcPr>
            <w:tcW w:w="1134" w:type="dxa"/>
            <w:tcBorders>
              <w:top w:val="nil"/>
              <w:bottom w:val="doub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
                <w:i/>
                <w:sz w:val="24"/>
                <w:szCs w:val="24"/>
              </w:rPr>
            </w:pPr>
            <w:r w:rsidRPr="007C50D0">
              <w:rPr>
                <w:b/>
                <w:i/>
                <w:sz w:val="24"/>
                <w:szCs w:val="24"/>
              </w:rPr>
              <w:t>44,8</w:t>
            </w:r>
          </w:p>
        </w:tc>
        <w:tc>
          <w:tcPr>
            <w:tcW w:w="992" w:type="dxa"/>
            <w:tcBorders>
              <w:top w:val="nil"/>
              <w:left w:val="single" w:sz="4" w:space="0" w:color="auto"/>
              <w:bottom w:val="doub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
                <w:i/>
                <w:sz w:val="24"/>
                <w:szCs w:val="24"/>
              </w:rPr>
            </w:pPr>
            <w:r w:rsidRPr="007C50D0">
              <w:rPr>
                <w:b/>
                <w:i/>
                <w:sz w:val="24"/>
                <w:szCs w:val="24"/>
              </w:rPr>
              <w:t>45,3</w:t>
            </w:r>
          </w:p>
        </w:tc>
        <w:tc>
          <w:tcPr>
            <w:tcW w:w="1276" w:type="dxa"/>
            <w:tcBorders>
              <w:top w:val="nil"/>
              <w:left w:val="single" w:sz="4" w:space="0" w:color="auto"/>
              <w:bottom w:val="doub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
                <w:i/>
                <w:sz w:val="24"/>
                <w:szCs w:val="24"/>
              </w:rPr>
            </w:pPr>
            <w:r w:rsidRPr="007C50D0">
              <w:rPr>
                <w:b/>
                <w:i/>
                <w:sz w:val="24"/>
                <w:szCs w:val="24"/>
              </w:rPr>
              <w:t>47,3</w:t>
            </w:r>
          </w:p>
        </w:tc>
        <w:tc>
          <w:tcPr>
            <w:tcW w:w="1276" w:type="dxa"/>
            <w:tcBorders>
              <w:top w:val="nil"/>
              <w:left w:val="single" w:sz="4" w:space="0" w:color="auto"/>
              <w:bottom w:val="doub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
                <w:i/>
                <w:sz w:val="24"/>
                <w:szCs w:val="24"/>
              </w:rPr>
            </w:pPr>
            <w:r w:rsidRPr="007C50D0">
              <w:rPr>
                <w:b/>
                <w:i/>
                <w:sz w:val="24"/>
                <w:szCs w:val="24"/>
              </w:rPr>
              <w:t>48,8</w:t>
            </w:r>
          </w:p>
        </w:tc>
        <w:tc>
          <w:tcPr>
            <w:tcW w:w="1159" w:type="dxa"/>
            <w:tcBorders>
              <w:top w:val="nil"/>
              <w:left w:val="single" w:sz="4" w:space="0" w:color="auto"/>
              <w:bottom w:val="double" w:sz="4" w:space="0" w:color="auto"/>
            </w:tcBorders>
            <w:shd w:val="clear" w:color="auto" w:fill="FFFFFF"/>
            <w:vAlign w:val="center"/>
          </w:tcPr>
          <w:p w:rsidR="007C50D0" w:rsidRPr="007C50D0" w:rsidRDefault="007C50D0" w:rsidP="008619A6">
            <w:pPr>
              <w:ind w:left="-392" w:firstLine="392"/>
              <w:contextualSpacing/>
              <w:jc w:val="center"/>
              <w:rPr>
                <w:b/>
                <w:i/>
                <w:sz w:val="24"/>
                <w:szCs w:val="24"/>
              </w:rPr>
            </w:pPr>
            <w:r w:rsidRPr="007C50D0">
              <w:rPr>
                <w:b/>
                <w:i/>
                <w:sz w:val="24"/>
                <w:szCs w:val="24"/>
              </w:rPr>
              <w:t>46,0</w:t>
            </w:r>
          </w:p>
        </w:tc>
      </w:tr>
      <w:tr w:rsidR="007C50D0" w:rsidRPr="007C50D0" w:rsidTr="006A3630">
        <w:trPr>
          <w:trHeight w:val="42"/>
        </w:trPr>
        <w:tc>
          <w:tcPr>
            <w:tcW w:w="3402" w:type="dxa"/>
            <w:tcBorders>
              <w:top w:val="double" w:sz="4" w:space="0" w:color="auto"/>
              <w:bottom w:val="single" w:sz="4" w:space="0" w:color="auto"/>
            </w:tcBorders>
            <w:shd w:val="clear" w:color="auto" w:fill="FFFFFF"/>
            <w:vAlign w:val="center"/>
          </w:tcPr>
          <w:p w:rsidR="007C50D0" w:rsidRPr="007C50D0" w:rsidRDefault="007C50D0" w:rsidP="008619A6">
            <w:pPr>
              <w:ind w:left="-392" w:firstLine="392"/>
              <w:contextualSpacing/>
              <w:jc w:val="center"/>
              <w:rPr>
                <w:b/>
                <w:sz w:val="24"/>
                <w:szCs w:val="24"/>
                <w:lang w:val="en-US"/>
              </w:rPr>
            </w:pPr>
            <w:proofErr w:type="gramStart"/>
            <w:r w:rsidRPr="007C50D0">
              <w:rPr>
                <w:b/>
                <w:sz w:val="24"/>
                <w:szCs w:val="24"/>
              </w:rPr>
              <w:t>Гражданские</w:t>
            </w:r>
            <w:proofErr w:type="gramEnd"/>
            <w:r w:rsidRPr="007C50D0">
              <w:rPr>
                <w:b/>
                <w:sz w:val="24"/>
                <w:szCs w:val="24"/>
              </w:rPr>
              <w:t xml:space="preserve"> (всего)</w:t>
            </w:r>
          </w:p>
        </w:tc>
        <w:tc>
          <w:tcPr>
            <w:tcW w:w="1134" w:type="dxa"/>
            <w:tcBorders>
              <w:top w:val="double" w:sz="4" w:space="0" w:color="auto"/>
              <w:bottom w:val="sing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Cs/>
                <w:i/>
                <w:sz w:val="24"/>
                <w:szCs w:val="24"/>
              </w:rPr>
            </w:pPr>
            <w:r w:rsidRPr="007C50D0">
              <w:rPr>
                <w:bCs/>
                <w:i/>
                <w:sz w:val="24"/>
                <w:szCs w:val="24"/>
              </w:rPr>
              <w:t>474882</w:t>
            </w:r>
          </w:p>
        </w:tc>
        <w:tc>
          <w:tcPr>
            <w:tcW w:w="992"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Cs/>
                <w:i/>
                <w:sz w:val="24"/>
                <w:szCs w:val="24"/>
              </w:rPr>
            </w:pPr>
            <w:r w:rsidRPr="007C50D0">
              <w:rPr>
                <w:bCs/>
                <w:i/>
                <w:sz w:val="24"/>
                <w:szCs w:val="24"/>
              </w:rPr>
              <w:t>408671</w:t>
            </w:r>
          </w:p>
        </w:tc>
        <w:tc>
          <w:tcPr>
            <w:tcW w:w="1276"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Cs/>
                <w:i/>
                <w:sz w:val="24"/>
                <w:szCs w:val="24"/>
              </w:rPr>
            </w:pPr>
            <w:r w:rsidRPr="007C50D0">
              <w:rPr>
                <w:bCs/>
                <w:i/>
                <w:sz w:val="24"/>
                <w:szCs w:val="24"/>
              </w:rPr>
              <w:t>441703</w:t>
            </w:r>
          </w:p>
        </w:tc>
        <w:tc>
          <w:tcPr>
            <w:tcW w:w="1276"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Cs/>
                <w:i/>
                <w:sz w:val="24"/>
                <w:szCs w:val="24"/>
              </w:rPr>
            </w:pPr>
            <w:r w:rsidRPr="007C50D0">
              <w:rPr>
                <w:bCs/>
                <w:i/>
                <w:sz w:val="24"/>
                <w:szCs w:val="24"/>
              </w:rPr>
              <w:t>332724</w:t>
            </w:r>
          </w:p>
        </w:tc>
        <w:tc>
          <w:tcPr>
            <w:tcW w:w="1159" w:type="dxa"/>
            <w:tcBorders>
              <w:top w:val="double" w:sz="4" w:space="0" w:color="auto"/>
              <w:left w:val="single" w:sz="4" w:space="0" w:color="auto"/>
              <w:bottom w:val="single" w:sz="4" w:space="0" w:color="auto"/>
            </w:tcBorders>
            <w:shd w:val="clear" w:color="auto" w:fill="FFFFFF"/>
            <w:vAlign w:val="center"/>
          </w:tcPr>
          <w:p w:rsidR="007C50D0" w:rsidRPr="007C50D0" w:rsidRDefault="007C50D0" w:rsidP="008619A6">
            <w:pPr>
              <w:ind w:left="-392" w:firstLine="392"/>
              <w:contextualSpacing/>
              <w:jc w:val="center"/>
              <w:rPr>
                <w:bCs/>
                <w:i/>
                <w:sz w:val="24"/>
                <w:szCs w:val="24"/>
              </w:rPr>
            </w:pPr>
            <w:r w:rsidRPr="007C50D0">
              <w:rPr>
                <w:bCs/>
                <w:i/>
                <w:sz w:val="24"/>
                <w:szCs w:val="24"/>
              </w:rPr>
              <w:t>328196</w:t>
            </w:r>
          </w:p>
        </w:tc>
      </w:tr>
      <w:tr w:rsidR="007C50D0" w:rsidRPr="007C50D0" w:rsidTr="006A3630">
        <w:trPr>
          <w:trHeight w:val="188"/>
        </w:trPr>
        <w:tc>
          <w:tcPr>
            <w:tcW w:w="3402" w:type="dxa"/>
            <w:tcBorders>
              <w:top w:val="single" w:sz="4" w:space="0" w:color="auto"/>
              <w:bottom w:val="dotted" w:sz="4" w:space="0" w:color="auto"/>
            </w:tcBorders>
            <w:shd w:val="clear" w:color="auto" w:fill="FFFFFF"/>
            <w:vAlign w:val="center"/>
          </w:tcPr>
          <w:p w:rsidR="007C50D0" w:rsidRPr="006A3630" w:rsidRDefault="007C50D0" w:rsidP="008619A6">
            <w:pPr>
              <w:ind w:left="-392" w:firstLine="392"/>
              <w:contextualSpacing/>
              <w:jc w:val="center"/>
              <w:rPr>
                <w:sz w:val="24"/>
                <w:szCs w:val="24"/>
              </w:rPr>
            </w:pPr>
            <w:r w:rsidRPr="006A3630">
              <w:rPr>
                <w:sz w:val="24"/>
                <w:szCs w:val="24"/>
              </w:rPr>
              <w:t>Федеральные</w:t>
            </w:r>
          </w:p>
        </w:tc>
        <w:tc>
          <w:tcPr>
            <w:tcW w:w="1134"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128970</w:t>
            </w:r>
          </w:p>
        </w:tc>
        <w:tc>
          <w:tcPr>
            <w:tcW w:w="99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136844</w:t>
            </w:r>
          </w:p>
        </w:tc>
        <w:tc>
          <w:tcPr>
            <w:tcW w:w="1276"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142352</w:t>
            </w:r>
          </w:p>
        </w:tc>
        <w:tc>
          <w:tcPr>
            <w:tcW w:w="1276"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112419</w:t>
            </w:r>
          </w:p>
        </w:tc>
        <w:tc>
          <w:tcPr>
            <w:tcW w:w="1159"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92225</w:t>
            </w:r>
          </w:p>
        </w:tc>
      </w:tr>
      <w:tr w:rsidR="007C50D0" w:rsidRPr="007C50D0" w:rsidTr="006A3630">
        <w:trPr>
          <w:trHeight w:val="62"/>
        </w:trPr>
        <w:tc>
          <w:tcPr>
            <w:tcW w:w="3402" w:type="dxa"/>
            <w:tcBorders>
              <w:top w:val="dotted" w:sz="4" w:space="0" w:color="auto"/>
              <w:bottom w:val="nil"/>
            </w:tcBorders>
            <w:shd w:val="clear" w:color="auto" w:fill="FFFFFF"/>
            <w:vAlign w:val="center"/>
          </w:tcPr>
          <w:p w:rsidR="007C50D0" w:rsidRPr="006A3630" w:rsidRDefault="007C50D0" w:rsidP="008619A6">
            <w:pPr>
              <w:ind w:left="-392" w:firstLine="392"/>
              <w:contextualSpacing/>
              <w:jc w:val="center"/>
              <w:rPr>
                <w:sz w:val="24"/>
                <w:szCs w:val="24"/>
              </w:rPr>
            </w:pPr>
            <w:r w:rsidRPr="006A3630">
              <w:rPr>
                <w:sz w:val="24"/>
                <w:szCs w:val="24"/>
              </w:rPr>
              <w:t>Мировые</w:t>
            </w:r>
          </w:p>
        </w:tc>
        <w:tc>
          <w:tcPr>
            <w:tcW w:w="1134" w:type="dxa"/>
            <w:tcBorders>
              <w:top w:val="dotted"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345912</w:t>
            </w:r>
          </w:p>
        </w:tc>
        <w:tc>
          <w:tcPr>
            <w:tcW w:w="992" w:type="dxa"/>
            <w:tcBorders>
              <w:top w:val="dotted" w:sz="4" w:space="0" w:color="auto"/>
              <w:left w:val="single"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271827</w:t>
            </w:r>
          </w:p>
        </w:tc>
        <w:tc>
          <w:tcPr>
            <w:tcW w:w="1276" w:type="dxa"/>
            <w:tcBorders>
              <w:top w:val="dotted" w:sz="4" w:space="0" w:color="auto"/>
              <w:left w:val="single"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299351</w:t>
            </w:r>
          </w:p>
        </w:tc>
        <w:tc>
          <w:tcPr>
            <w:tcW w:w="1276" w:type="dxa"/>
            <w:tcBorders>
              <w:top w:val="dotted" w:sz="4" w:space="0" w:color="auto"/>
              <w:left w:val="single"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220305</w:t>
            </w:r>
          </w:p>
        </w:tc>
        <w:tc>
          <w:tcPr>
            <w:tcW w:w="1159" w:type="dxa"/>
            <w:tcBorders>
              <w:top w:val="dotted" w:sz="4" w:space="0" w:color="auto"/>
              <w:left w:val="single" w:sz="4" w:space="0" w:color="auto"/>
              <w:bottom w:val="nil"/>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235971</w:t>
            </w:r>
          </w:p>
        </w:tc>
      </w:tr>
      <w:tr w:rsidR="007C50D0" w:rsidRPr="007C50D0" w:rsidTr="006A3630">
        <w:trPr>
          <w:trHeight w:val="181"/>
        </w:trPr>
        <w:tc>
          <w:tcPr>
            <w:tcW w:w="3402" w:type="dxa"/>
            <w:tcBorders>
              <w:top w:val="nil"/>
              <w:bottom w:val="double" w:sz="4" w:space="0" w:color="auto"/>
            </w:tcBorders>
            <w:shd w:val="clear" w:color="auto" w:fill="FFFFFF"/>
            <w:vAlign w:val="center"/>
          </w:tcPr>
          <w:p w:rsidR="007C50D0" w:rsidRPr="006A3630" w:rsidRDefault="007C50D0" w:rsidP="008619A6">
            <w:pPr>
              <w:ind w:left="-392" w:firstLine="392"/>
              <w:contextualSpacing/>
              <w:jc w:val="center"/>
              <w:rPr>
                <w:sz w:val="24"/>
                <w:szCs w:val="24"/>
              </w:rPr>
            </w:pPr>
            <w:r w:rsidRPr="006A3630">
              <w:rPr>
                <w:sz w:val="24"/>
                <w:szCs w:val="24"/>
              </w:rPr>
              <w:t>%</w:t>
            </w:r>
          </w:p>
        </w:tc>
        <w:tc>
          <w:tcPr>
            <w:tcW w:w="1134" w:type="dxa"/>
            <w:tcBorders>
              <w:top w:val="nil"/>
              <w:bottom w:val="doub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
                <w:i/>
                <w:sz w:val="24"/>
                <w:szCs w:val="24"/>
              </w:rPr>
            </w:pPr>
            <w:r w:rsidRPr="007C50D0">
              <w:rPr>
                <w:b/>
                <w:i/>
                <w:sz w:val="24"/>
                <w:szCs w:val="24"/>
              </w:rPr>
              <w:t>72,8</w:t>
            </w:r>
          </w:p>
        </w:tc>
        <w:tc>
          <w:tcPr>
            <w:tcW w:w="992" w:type="dxa"/>
            <w:tcBorders>
              <w:top w:val="nil"/>
              <w:left w:val="single" w:sz="4" w:space="0" w:color="auto"/>
              <w:bottom w:val="doub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
                <w:i/>
                <w:sz w:val="24"/>
                <w:szCs w:val="24"/>
              </w:rPr>
            </w:pPr>
            <w:r w:rsidRPr="007C50D0">
              <w:rPr>
                <w:b/>
                <w:i/>
                <w:sz w:val="24"/>
                <w:szCs w:val="24"/>
              </w:rPr>
              <w:t>66,5</w:t>
            </w:r>
          </w:p>
        </w:tc>
        <w:tc>
          <w:tcPr>
            <w:tcW w:w="1276" w:type="dxa"/>
            <w:tcBorders>
              <w:top w:val="nil"/>
              <w:left w:val="single" w:sz="4" w:space="0" w:color="auto"/>
              <w:bottom w:val="doub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
                <w:i/>
                <w:sz w:val="24"/>
                <w:szCs w:val="24"/>
              </w:rPr>
            </w:pPr>
            <w:r w:rsidRPr="007C50D0">
              <w:rPr>
                <w:b/>
                <w:i/>
                <w:sz w:val="24"/>
                <w:szCs w:val="24"/>
              </w:rPr>
              <w:t>67,7</w:t>
            </w:r>
          </w:p>
        </w:tc>
        <w:tc>
          <w:tcPr>
            <w:tcW w:w="1276" w:type="dxa"/>
            <w:tcBorders>
              <w:top w:val="nil"/>
              <w:left w:val="single" w:sz="4" w:space="0" w:color="auto"/>
              <w:bottom w:val="doub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
                <w:i/>
                <w:sz w:val="24"/>
                <w:szCs w:val="24"/>
              </w:rPr>
            </w:pPr>
            <w:r w:rsidRPr="007C50D0">
              <w:rPr>
                <w:b/>
                <w:i/>
                <w:sz w:val="24"/>
                <w:szCs w:val="24"/>
              </w:rPr>
              <w:t>66,2</w:t>
            </w:r>
          </w:p>
        </w:tc>
        <w:tc>
          <w:tcPr>
            <w:tcW w:w="1159" w:type="dxa"/>
            <w:tcBorders>
              <w:top w:val="nil"/>
              <w:left w:val="single" w:sz="4" w:space="0" w:color="auto"/>
              <w:bottom w:val="double" w:sz="4" w:space="0" w:color="auto"/>
            </w:tcBorders>
            <w:shd w:val="clear" w:color="auto" w:fill="FFFFFF"/>
            <w:vAlign w:val="center"/>
          </w:tcPr>
          <w:p w:rsidR="007C50D0" w:rsidRPr="007C50D0" w:rsidRDefault="007C50D0" w:rsidP="008619A6">
            <w:pPr>
              <w:ind w:left="-392" w:firstLine="392"/>
              <w:contextualSpacing/>
              <w:jc w:val="center"/>
              <w:rPr>
                <w:b/>
                <w:i/>
                <w:sz w:val="24"/>
                <w:szCs w:val="24"/>
              </w:rPr>
            </w:pPr>
            <w:r w:rsidRPr="007C50D0">
              <w:rPr>
                <w:b/>
                <w:i/>
                <w:sz w:val="24"/>
                <w:szCs w:val="24"/>
              </w:rPr>
              <w:t>71,9</w:t>
            </w:r>
          </w:p>
        </w:tc>
      </w:tr>
      <w:tr w:rsidR="007C50D0" w:rsidRPr="007C50D0" w:rsidTr="006A3630">
        <w:trPr>
          <w:trHeight w:val="42"/>
        </w:trPr>
        <w:tc>
          <w:tcPr>
            <w:tcW w:w="3402" w:type="dxa"/>
            <w:tcBorders>
              <w:top w:val="double" w:sz="4" w:space="0" w:color="auto"/>
              <w:bottom w:val="single" w:sz="4" w:space="0" w:color="auto"/>
            </w:tcBorders>
            <w:shd w:val="clear" w:color="auto" w:fill="FFFFFF"/>
            <w:vAlign w:val="center"/>
          </w:tcPr>
          <w:p w:rsidR="007C50D0" w:rsidRPr="007C50D0" w:rsidRDefault="007C50D0" w:rsidP="008619A6">
            <w:pPr>
              <w:ind w:left="-392" w:firstLine="392"/>
              <w:contextualSpacing/>
              <w:jc w:val="center"/>
              <w:rPr>
                <w:b/>
                <w:sz w:val="24"/>
                <w:szCs w:val="24"/>
                <w:lang w:val="en-US"/>
              </w:rPr>
            </w:pPr>
            <w:proofErr w:type="gramStart"/>
            <w:r w:rsidRPr="007C50D0">
              <w:rPr>
                <w:b/>
                <w:sz w:val="24"/>
                <w:szCs w:val="24"/>
              </w:rPr>
              <w:t>Административные</w:t>
            </w:r>
            <w:proofErr w:type="gramEnd"/>
            <w:r w:rsidRPr="007C50D0">
              <w:rPr>
                <w:b/>
                <w:sz w:val="24"/>
                <w:szCs w:val="24"/>
              </w:rPr>
              <w:t xml:space="preserve"> (всего)</w:t>
            </w:r>
          </w:p>
        </w:tc>
        <w:tc>
          <w:tcPr>
            <w:tcW w:w="1134" w:type="dxa"/>
            <w:tcBorders>
              <w:top w:val="double" w:sz="4" w:space="0" w:color="auto"/>
              <w:bottom w:val="sing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p>
        </w:tc>
        <w:tc>
          <w:tcPr>
            <w:tcW w:w="992"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p>
        </w:tc>
        <w:tc>
          <w:tcPr>
            <w:tcW w:w="1276"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p>
        </w:tc>
        <w:tc>
          <w:tcPr>
            <w:tcW w:w="1276"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110396</w:t>
            </w:r>
          </w:p>
        </w:tc>
        <w:tc>
          <w:tcPr>
            <w:tcW w:w="1159" w:type="dxa"/>
            <w:tcBorders>
              <w:top w:val="double" w:sz="4" w:space="0" w:color="auto"/>
              <w:left w:val="single" w:sz="4" w:space="0" w:color="auto"/>
              <w:bottom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99414</w:t>
            </w:r>
          </w:p>
        </w:tc>
      </w:tr>
      <w:tr w:rsidR="007C50D0" w:rsidRPr="007C50D0" w:rsidTr="006A3630">
        <w:trPr>
          <w:trHeight w:val="62"/>
        </w:trPr>
        <w:tc>
          <w:tcPr>
            <w:tcW w:w="3402" w:type="dxa"/>
            <w:tcBorders>
              <w:top w:val="single" w:sz="4" w:space="0" w:color="auto"/>
              <w:bottom w:val="dotted" w:sz="4" w:space="0" w:color="auto"/>
            </w:tcBorders>
            <w:shd w:val="clear" w:color="auto" w:fill="FFFFFF"/>
            <w:vAlign w:val="center"/>
          </w:tcPr>
          <w:p w:rsidR="007C50D0" w:rsidRPr="006A3630" w:rsidRDefault="007C50D0" w:rsidP="008619A6">
            <w:pPr>
              <w:ind w:left="-392" w:firstLine="392"/>
              <w:contextualSpacing/>
              <w:jc w:val="center"/>
              <w:rPr>
                <w:sz w:val="24"/>
                <w:szCs w:val="24"/>
              </w:rPr>
            </w:pPr>
            <w:r w:rsidRPr="006A3630">
              <w:rPr>
                <w:sz w:val="24"/>
                <w:szCs w:val="24"/>
              </w:rPr>
              <w:t>Федеральные</w:t>
            </w:r>
          </w:p>
        </w:tc>
        <w:tc>
          <w:tcPr>
            <w:tcW w:w="1134"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p>
        </w:tc>
        <w:tc>
          <w:tcPr>
            <w:tcW w:w="99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p>
        </w:tc>
        <w:tc>
          <w:tcPr>
            <w:tcW w:w="1276"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p>
        </w:tc>
        <w:tc>
          <w:tcPr>
            <w:tcW w:w="1276"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26796</w:t>
            </w:r>
          </w:p>
        </w:tc>
        <w:tc>
          <w:tcPr>
            <w:tcW w:w="1159"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10638</w:t>
            </w:r>
          </w:p>
        </w:tc>
      </w:tr>
      <w:tr w:rsidR="007C50D0" w:rsidRPr="007C50D0" w:rsidTr="006A3630">
        <w:trPr>
          <w:trHeight w:val="62"/>
        </w:trPr>
        <w:tc>
          <w:tcPr>
            <w:tcW w:w="3402" w:type="dxa"/>
            <w:tcBorders>
              <w:top w:val="dotted" w:sz="4" w:space="0" w:color="auto"/>
              <w:bottom w:val="nil"/>
            </w:tcBorders>
            <w:shd w:val="clear" w:color="auto" w:fill="FFFFFF"/>
            <w:vAlign w:val="center"/>
          </w:tcPr>
          <w:p w:rsidR="007C50D0" w:rsidRPr="006A3630" w:rsidRDefault="007C50D0" w:rsidP="008619A6">
            <w:pPr>
              <w:ind w:left="-392" w:firstLine="392"/>
              <w:contextualSpacing/>
              <w:jc w:val="center"/>
              <w:rPr>
                <w:sz w:val="24"/>
                <w:szCs w:val="24"/>
              </w:rPr>
            </w:pPr>
            <w:r w:rsidRPr="006A3630">
              <w:rPr>
                <w:sz w:val="24"/>
                <w:szCs w:val="24"/>
              </w:rPr>
              <w:t>Мировые</w:t>
            </w:r>
          </w:p>
        </w:tc>
        <w:tc>
          <w:tcPr>
            <w:tcW w:w="1134" w:type="dxa"/>
            <w:tcBorders>
              <w:top w:val="dotted"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p>
        </w:tc>
        <w:tc>
          <w:tcPr>
            <w:tcW w:w="992" w:type="dxa"/>
            <w:tcBorders>
              <w:top w:val="dotted" w:sz="4" w:space="0" w:color="auto"/>
              <w:left w:val="single"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p>
        </w:tc>
        <w:tc>
          <w:tcPr>
            <w:tcW w:w="1276" w:type="dxa"/>
            <w:tcBorders>
              <w:top w:val="dotted" w:sz="4" w:space="0" w:color="auto"/>
              <w:left w:val="single"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p>
        </w:tc>
        <w:tc>
          <w:tcPr>
            <w:tcW w:w="1276" w:type="dxa"/>
            <w:tcBorders>
              <w:top w:val="dotted" w:sz="4" w:space="0" w:color="auto"/>
              <w:left w:val="single"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83600</w:t>
            </w:r>
          </w:p>
        </w:tc>
        <w:tc>
          <w:tcPr>
            <w:tcW w:w="1159" w:type="dxa"/>
            <w:tcBorders>
              <w:top w:val="dotted" w:sz="4" w:space="0" w:color="auto"/>
              <w:left w:val="single" w:sz="4" w:space="0" w:color="auto"/>
              <w:bottom w:val="nil"/>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88776</w:t>
            </w:r>
          </w:p>
        </w:tc>
      </w:tr>
      <w:tr w:rsidR="007C50D0" w:rsidRPr="007C50D0" w:rsidTr="006A3630">
        <w:trPr>
          <w:trHeight w:val="62"/>
        </w:trPr>
        <w:tc>
          <w:tcPr>
            <w:tcW w:w="3402" w:type="dxa"/>
            <w:tcBorders>
              <w:top w:val="nil"/>
              <w:bottom w:val="double" w:sz="4" w:space="0" w:color="auto"/>
            </w:tcBorders>
            <w:shd w:val="clear" w:color="auto" w:fill="FFFFFF"/>
            <w:vAlign w:val="center"/>
          </w:tcPr>
          <w:p w:rsidR="007C50D0" w:rsidRPr="006A3630" w:rsidRDefault="007C50D0" w:rsidP="008619A6">
            <w:pPr>
              <w:ind w:left="-392" w:firstLine="392"/>
              <w:contextualSpacing/>
              <w:jc w:val="center"/>
              <w:rPr>
                <w:sz w:val="24"/>
                <w:szCs w:val="24"/>
              </w:rPr>
            </w:pPr>
            <w:r w:rsidRPr="006A3630">
              <w:rPr>
                <w:sz w:val="24"/>
                <w:szCs w:val="24"/>
              </w:rPr>
              <w:t>%</w:t>
            </w:r>
          </w:p>
        </w:tc>
        <w:tc>
          <w:tcPr>
            <w:tcW w:w="1134" w:type="dxa"/>
            <w:tcBorders>
              <w:top w:val="nil"/>
              <w:bottom w:val="doub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p>
        </w:tc>
        <w:tc>
          <w:tcPr>
            <w:tcW w:w="992" w:type="dxa"/>
            <w:tcBorders>
              <w:top w:val="nil"/>
              <w:left w:val="single" w:sz="4" w:space="0" w:color="auto"/>
              <w:bottom w:val="doub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p>
        </w:tc>
        <w:tc>
          <w:tcPr>
            <w:tcW w:w="1276" w:type="dxa"/>
            <w:tcBorders>
              <w:top w:val="nil"/>
              <w:left w:val="single" w:sz="4" w:space="0" w:color="auto"/>
              <w:bottom w:val="doub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p>
        </w:tc>
        <w:tc>
          <w:tcPr>
            <w:tcW w:w="1276" w:type="dxa"/>
            <w:tcBorders>
              <w:top w:val="nil"/>
              <w:left w:val="single" w:sz="4" w:space="0" w:color="auto"/>
              <w:bottom w:val="double" w:sz="4" w:space="0" w:color="auto"/>
              <w:right w:val="single" w:sz="4" w:space="0" w:color="auto"/>
            </w:tcBorders>
            <w:shd w:val="clear" w:color="auto" w:fill="FFFFFF"/>
            <w:vAlign w:val="center"/>
          </w:tcPr>
          <w:p w:rsidR="007C50D0" w:rsidRPr="006A3630" w:rsidRDefault="007C50D0" w:rsidP="008619A6">
            <w:pPr>
              <w:ind w:left="-392" w:firstLine="392"/>
              <w:contextualSpacing/>
              <w:jc w:val="center"/>
              <w:rPr>
                <w:b/>
                <w:i/>
                <w:sz w:val="24"/>
                <w:szCs w:val="24"/>
              </w:rPr>
            </w:pPr>
            <w:r w:rsidRPr="006A3630">
              <w:rPr>
                <w:b/>
                <w:i/>
                <w:sz w:val="24"/>
                <w:szCs w:val="24"/>
              </w:rPr>
              <w:t>75,7</w:t>
            </w:r>
          </w:p>
        </w:tc>
        <w:tc>
          <w:tcPr>
            <w:tcW w:w="1159" w:type="dxa"/>
            <w:tcBorders>
              <w:top w:val="nil"/>
              <w:left w:val="single" w:sz="4" w:space="0" w:color="auto"/>
              <w:bottom w:val="double" w:sz="4" w:space="0" w:color="auto"/>
            </w:tcBorders>
            <w:shd w:val="clear" w:color="auto" w:fill="FFFFFF"/>
            <w:vAlign w:val="center"/>
          </w:tcPr>
          <w:p w:rsidR="007C50D0" w:rsidRPr="006A3630" w:rsidRDefault="007C50D0" w:rsidP="008619A6">
            <w:pPr>
              <w:ind w:left="-392" w:firstLine="392"/>
              <w:contextualSpacing/>
              <w:jc w:val="center"/>
              <w:rPr>
                <w:b/>
                <w:i/>
                <w:sz w:val="24"/>
                <w:szCs w:val="24"/>
              </w:rPr>
            </w:pPr>
            <w:r w:rsidRPr="006A3630">
              <w:rPr>
                <w:b/>
                <w:i/>
                <w:sz w:val="24"/>
                <w:szCs w:val="24"/>
              </w:rPr>
              <w:t>89,3</w:t>
            </w:r>
          </w:p>
        </w:tc>
      </w:tr>
      <w:tr w:rsidR="007C50D0" w:rsidRPr="007C50D0" w:rsidTr="006A3630">
        <w:trPr>
          <w:trHeight w:val="125"/>
        </w:trPr>
        <w:tc>
          <w:tcPr>
            <w:tcW w:w="3402" w:type="dxa"/>
            <w:tcBorders>
              <w:top w:val="double" w:sz="4" w:space="0" w:color="auto"/>
              <w:bottom w:val="single" w:sz="4" w:space="0" w:color="auto"/>
            </w:tcBorders>
            <w:shd w:val="clear" w:color="auto" w:fill="FFFFFF"/>
            <w:vAlign w:val="center"/>
          </w:tcPr>
          <w:p w:rsidR="007C50D0" w:rsidRPr="007C50D0" w:rsidRDefault="007C50D0" w:rsidP="008619A6">
            <w:pPr>
              <w:ind w:left="-392" w:firstLine="392"/>
              <w:contextualSpacing/>
              <w:jc w:val="center"/>
              <w:rPr>
                <w:b/>
                <w:sz w:val="24"/>
                <w:szCs w:val="24"/>
              </w:rPr>
            </w:pPr>
            <w:r w:rsidRPr="007C50D0">
              <w:rPr>
                <w:b/>
                <w:sz w:val="24"/>
                <w:szCs w:val="24"/>
              </w:rPr>
              <w:t>Производство об АП (всего)</w:t>
            </w:r>
          </w:p>
        </w:tc>
        <w:tc>
          <w:tcPr>
            <w:tcW w:w="1134" w:type="dxa"/>
            <w:tcBorders>
              <w:top w:val="double" w:sz="4" w:space="0" w:color="auto"/>
              <w:bottom w:val="sing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Cs/>
                <w:i/>
                <w:sz w:val="24"/>
                <w:szCs w:val="24"/>
              </w:rPr>
            </w:pPr>
            <w:r w:rsidRPr="007C50D0">
              <w:rPr>
                <w:bCs/>
                <w:i/>
                <w:sz w:val="24"/>
                <w:szCs w:val="24"/>
              </w:rPr>
              <w:t>158998</w:t>
            </w:r>
          </w:p>
        </w:tc>
        <w:tc>
          <w:tcPr>
            <w:tcW w:w="992"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Cs/>
                <w:i/>
                <w:sz w:val="24"/>
                <w:szCs w:val="24"/>
              </w:rPr>
            </w:pPr>
            <w:r w:rsidRPr="007C50D0">
              <w:rPr>
                <w:bCs/>
                <w:i/>
                <w:sz w:val="24"/>
                <w:szCs w:val="24"/>
              </w:rPr>
              <w:t>189428</w:t>
            </w:r>
          </w:p>
        </w:tc>
        <w:tc>
          <w:tcPr>
            <w:tcW w:w="1276"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Cs/>
                <w:i/>
                <w:sz w:val="24"/>
                <w:szCs w:val="24"/>
              </w:rPr>
            </w:pPr>
            <w:r w:rsidRPr="007C50D0">
              <w:rPr>
                <w:bCs/>
                <w:i/>
                <w:sz w:val="24"/>
                <w:szCs w:val="24"/>
              </w:rPr>
              <w:t>182376</w:t>
            </w:r>
          </w:p>
        </w:tc>
        <w:tc>
          <w:tcPr>
            <w:tcW w:w="1276"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bCs/>
                <w:i/>
                <w:sz w:val="24"/>
                <w:szCs w:val="24"/>
              </w:rPr>
            </w:pPr>
            <w:r w:rsidRPr="007C50D0">
              <w:rPr>
                <w:bCs/>
                <w:i/>
                <w:sz w:val="24"/>
                <w:szCs w:val="24"/>
              </w:rPr>
              <w:t>194562</w:t>
            </w:r>
          </w:p>
        </w:tc>
        <w:tc>
          <w:tcPr>
            <w:tcW w:w="1159" w:type="dxa"/>
            <w:tcBorders>
              <w:top w:val="double" w:sz="4" w:space="0" w:color="auto"/>
              <w:left w:val="single" w:sz="4" w:space="0" w:color="auto"/>
              <w:bottom w:val="single" w:sz="4" w:space="0" w:color="auto"/>
            </w:tcBorders>
            <w:shd w:val="clear" w:color="auto" w:fill="FFFFFF"/>
            <w:vAlign w:val="center"/>
          </w:tcPr>
          <w:p w:rsidR="007C50D0" w:rsidRPr="007C50D0" w:rsidRDefault="007C50D0" w:rsidP="008619A6">
            <w:pPr>
              <w:ind w:left="-392" w:firstLine="392"/>
              <w:contextualSpacing/>
              <w:jc w:val="center"/>
              <w:rPr>
                <w:bCs/>
                <w:i/>
                <w:sz w:val="24"/>
                <w:szCs w:val="24"/>
              </w:rPr>
            </w:pPr>
            <w:r w:rsidRPr="007C50D0">
              <w:rPr>
                <w:bCs/>
                <w:i/>
                <w:sz w:val="24"/>
                <w:szCs w:val="24"/>
              </w:rPr>
              <w:t>212906</w:t>
            </w:r>
          </w:p>
        </w:tc>
      </w:tr>
      <w:tr w:rsidR="007C50D0" w:rsidRPr="007C50D0" w:rsidTr="006A3630">
        <w:trPr>
          <w:trHeight w:val="121"/>
        </w:trPr>
        <w:tc>
          <w:tcPr>
            <w:tcW w:w="3402" w:type="dxa"/>
            <w:tcBorders>
              <w:top w:val="single" w:sz="4" w:space="0" w:color="auto"/>
              <w:bottom w:val="dotted" w:sz="4" w:space="0" w:color="auto"/>
            </w:tcBorders>
            <w:shd w:val="clear" w:color="auto" w:fill="FFFFFF"/>
            <w:vAlign w:val="center"/>
          </w:tcPr>
          <w:p w:rsidR="007C50D0" w:rsidRPr="006A3630" w:rsidRDefault="007C50D0" w:rsidP="008619A6">
            <w:pPr>
              <w:ind w:left="-392" w:firstLine="392"/>
              <w:contextualSpacing/>
              <w:jc w:val="center"/>
              <w:rPr>
                <w:sz w:val="24"/>
                <w:szCs w:val="24"/>
              </w:rPr>
            </w:pPr>
            <w:r w:rsidRPr="006A3630">
              <w:rPr>
                <w:sz w:val="24"/>
                <w:szCs w:val="24"/>
              </w:rPr>
              <w:t>Федеральные</w:t>
            </w:r>
          </w:p>
        </w:tc>
        <w:tc>
          <w:tcPr>
            <w:tcW w:w="1134"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18504</w:t>
            </w:r>
          </w:p>
        </w:tc>
        <w:tc>
          <w:tcPr>
            <w:tcW w:w="99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19562</w:t>
            </w:r>
          </w:p>
        </w:tc>
        <w:tc>
          <w:tcPr>
            <w:tcW w:w="1276"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18178</w:t>
            </w:r>
          </w:p>
        </w:tc>
        <w:tc>
          <w:tcPr>
            <w:tcW w:w="1276"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19692</w:t>
            </w:r>
          </w:p>
        </w:tc>
        <w:tc>
          <w:tcPr>
            <w:tcW w:w="1159"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21469</w:t>
            </w:r>
          </w:p>
        </w:tc>
      </w:tr>
      <w:tr w:rsidR="007C50D0" w:rsidRPr="007C50D0" w:rsidTr="006A3630">
        <w:trPr>
          <w:trHeight w:val="62"/>
        </w:trPr>
        <w:tc>
          <w:tcPr>
            <w:tcW w:w="3402" w:type="dxa"/>
            <w:tcBorders>
              <w:top w:val="dotted" w:sz="4" w:space="0" w:color="auto"/>
              <w:bottom w:val="nil"/>
            </w:tcBorders>
            <w:shd w:val="clear" w:color="auto" w:fill="FFFFFF"/>
            <w:vAlign w:val="center"/>
          </w:tcPr>
          <w:p w:rsidR="007C50D0" w:rsidRPr="006A3630" w:rsidRDefault="007C50D0" w:rsidP="008619A6">
            <w:pPr>
              <w:ind w:left="-392" w:firstLine="392"/>
              <w:contextualSpacing/>
              <w:jc w:val="center"/>
              <w:rPr>
                <w:sz w:val="24"/>
                <w:szCs w:val="24"/>
              </w:rPr>
            </w:pPr>
            <w:r w:rsidRPr="006A3630">
              <w:rPr>
                <w:sz w:val="24"/>
                <w:szCs w:val="24"/>
              </w:rPr>
              <w:t>Мировые</w:t>
            </w:r>
          </w:p>
        </w:tc>
        <w:tc>
          <w:tcPr>
            <w:tcW w:w="1134" w:type="dxa"/>
            <w:tcBorders>
              <w:top w:val="dotted"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140494</w:t>
            </w:r>
          </w:p>
        </w:tc>
        <w:tc>
          <w:tcPr>
            <w:tcW w:w="992" w:type="dxa"/>
            <w:tcBorders>
              <w:top w:val="dotted" w:sz="4" w:space="0" w:color="auto"/>
              <w:left w:val="single"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169866</w:t>
            </w:r>
          </w:p>
        </w:tc>
        <w:tc>
          <w:tcPr>
            <w:tcW w:w="1276" w:type="dxa"/>
            <w:tcBorders>
              <w:top w:val="dotted" w:sz="4" w:space="0" w:color="auto"/>
              <w:left w:val="single"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164198</w:t>
            </w:r>
          </w:p>
        </w:tc>
        <w:tc>
          <w:tcPr>
            <w:tcW w:w="1276" w:type="dxa"/>
            <w:tcBorders>
              <w:top w:val="dotted" w:sz="4" w:space="0" w:color="auto"/>
              <w:left w:val="single" w:sz="4" w:space="0" w:color="auto"/>
              <w:bottom w:val="nil"/>
              <w:right w:val="single" w:sz="4" w:space="0" w:color="auto"/>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174870</w:t>
            </w:r>
          </w:p>
        </w:tc>
        <w:tc>
          <w:tcPr>
            <w:tcW w:w="1159" w:type="dxa"/>
            <w:tcBorders>
              <w:top w:val="dotted" w:sz="4" w:space="0" w:color="auto"/>
              <w:left w:val="single" w:sz="4" w:space="0" w:color="auto"/>
              <w:bottom w:val="nil"/>
            </w:tcBorders>
            <w:shd w:val="clear" w:color="auto" w:fill="FFFFFF"/>
            <w:vAlign w:val="center"/>
          </w:tcPr>
          <w:p w:rsidR="007C50D0" w:rsidRPr="007C50D0" w:rsidRDefault="007C50D0" w:rsidP="008619A6">
            <w:pPr>
              <w:ind w:left="-392" w:firstLine="392"/>
              <w:contextualSpacing/>
              <w:jc w:val="center"/>
              <w:rPr>
                <w:i/>
                <w:sz w:val="24"/>
                <w:szCs w:val="24"/>
              </w:rPr>
            </w:pPr>
            <w:r w:rsidRPr="007C50D0">
              <w:rPr>
                <w:i/>
                <w:sz w:val="24"/>
                <w:szCs w:val="24"/>
              </w:rPr>
              <w:t>191437</w:t>
            </w:r>
          </w:p>
        </w:tc>
      </w:tr>
      <w:tr w:rsidR="007C50D0" w:rsidRPr="007C50D0" w:rsidTr="006A3630">
        <w:trPr>
          <w:trHeight w:val="257"/>
        </w:trPr>
        <w:tc>
          <w:tcPr>
            <w:tcW w:w="3402" w:type="dxa"/>
            <w:tcBorders>
              <w:top w:val="nil"/>
              <w:bottom w:val="double" w:sz="4" w:space="0" w:color="auto"/>
            </w:tcBorders>
            <w:shd w:val="clear" w:color="auto" w:fill="FFFFFF"/>
            <w:vAlign w:val="center"/>
          </w:tcPr>
          <w:p w:rsidR="007C50D0" w:rsidRPr="007C50D0" w:rsidRDefault="007C50D0" w:rsidP="008619A6">
            <w:pPr>
              <w:ind w:left="-392"/>
              <w:contextualSpacing/>
              <w:jc w:val="center"/>
              <w:rPr>
                <w:b/>
                <w:sz w:val="24"/>
                <w:szCs w:val="24"/>
              </w:rPr>
            </w:pPr>
            <w:r w:rsidRPr="007C50D0">
              <w:rPr>
                <w:b/>
                <w:sz w:val="24"/>
                <w:szCs w:val="24"/>
              </w:rPr>
              <w:t>%</w:t>
            </w:r>
          </w:p>
        </w:tc>
        <w:tc>
          <w:tcPr>
            <w:tcW w:w="1134" w:type="dxa"/>
            <w:tcBorders>
              <w:top w:val="nil"/>
              <w:bottom w:val="double" w:sz="4" w:space="0" w:color="auto"/>
              <w:right w:val="single" w:sz="4" w:space="0" w:color="auto"/>
            </w:tcBorders>
            <w:shd w:val="clear" w:color="auto" w:fill="FFFFFF"/>
            <w:vAlign w:val="center"/>
          </w:tcPr>
          <w:p w:rsidR="007C50D0" w:rsidRPr="006A3630" w:rsidRDefault="007C50D0" w:rsidP="008619A6">
            <w:pPr>
              <w:ind w:left="-392" w:firstLine="392"/>
              <w:contextualSpacing/>
              <w:jc w:val="center"/>
              <w:rPr>
                <w:b/>
                <w:i/>
                <w:sz w:val="24"/>
                <w:szCs w:val="24"/>
              </w:rPr>
            </w:pPr>
            <w:r w:rsidRPr="006A3630">
              <w:rPr>
                <w:b/>
                <w:i/>
                <w:sz w:val="24"/>
                <w:szCs w:val="24"/>
              </w:rPr>
              <w:t>88,4</w:t>
            </w:r>
          </w:p>
        </w:tc>
        <w:tc>
          <w:tcPr>
            <w:tcW w:w="992" w:type="dxa"/>
            <w:tcBorders>
              <w:top w:val="nil"/>
              <w:left w:val="single" w:sz="4" w:space="0" w:color="auto"/>
              <w:bottom w:val="double" w:sz="4" w:space="0" w:color="auto"/>
              <w:right w:val="single" w:sz="4" w:space="0" w:color="auto"/>
            </w:tcBorders>
            <w:shd w:val="clear" w:color="auto" w:fill="FFFFFF"/>
            <w:vAlign w:val="center"/>
          </w:tcPr>
          <w:p w:rsidR="007C50D0" w:rsidRPr="006A3630" w:rsidRDefault="007C50D0" w:rsidP="008619A6">
            <w:pPr>
              <w:ind w:left="-392" w:firstLine="392"/>
              <w:contextualSpacing/>
              <w:jc w:val="center"/>
              <w:rPr>
                <w:b/>
                <w:i/>
                <w:sz w:val="24"/>
                <w:szCs w:val="24"/>
              </w:rPr>
            </w:pPr>
            <w:r w:rsidRPr="006A3630">
              <w:rPr>
                <w:b/>
                <w:i/>
                <w:sz w:val="24"/>
                <w:szCs w:val="24"/>
              </w:rPr>
              <w:t>89,7</w:t>
            </w:r>
          </w:p>
        </w:tc>
        <w:tc>
          <w:tcPr>
            <w:tcW w:w="1276" w:type="dxa"/>
            <w:tcBorders>
              <w:top w:val="nil"/>
              <w:left w:val="single" w:sz="4" w:space="0" w:color="auto"/>
              <w:bottom w:val="double" w:sz="4" w:space="0" w:color="auto"/>
              <w:right w:val="single" w:sz="4" w:space="0" w:color="auto"/>
            </w:tcBorders>
            <w:shd w:val="clear" w:color="auto" w:fill="FFFFFF"/>
            <w:vAlign w:val="center"/>
          </w:tcPr>
          <w:p w:rsidR="007C50D0" w:rsidRPr="006A3630" w:rsidRDefault="007C50D0" w:rsidP="008619A6">
            <w:pPr>
              <w:ind w:left="-392" w:firstLine="392"/>
              <w:contextualSpacing/>
              <w:jc w:val="center"/>
              <w:rPr>
                <w:b/>
                <w:i/>
                <w:sz w:val="24"/>
                <w:szCs w:val="24"/>
              </w:rPr>
            </w:pPr>
            <w:r w:rsidRPr="006A3630">
              <w:rPr>
                <w:b/>
                <w:i/>
                <w:sz w:val="24"/>
                <w:szCs w:val="24"/>
              </w:rPr>
              <w:t>90</w:t>
            </w:r>
          </w:p>
        </w:tc>
        <w:tc>
          <w:tcPr>
            <w:tcW w:w="1276" w:type="dxa"/>
            <w:tcBorders>
              <w:top w:val="nil"/>
              <w:left w:val="single" w:sz="4" w:space="0" w:color="auto"/>
              <w:bottom w:val="double" w:sz="4" w:space="0" w:color="auto"/>
              <w:right w:val="single" w:sz="4" w:space="0" w:color="auto"/>
            </w:tcBorders>
            <w:shd w:val="clear" w:color="auto" w:fill="FFFFFF"/>
            <w:vAlign w:val="center"/>
          </w:tcPr>
          <w:p w:rsidR="007C50D0" w:rsidRPr="006A3630" w:rsidRDefault="007C50D0" w:rsidP="008619A6">
            <w:pPr>
              <w:ind w:left="-392" w:firstLine="392"/>
              <w:contextualSpacing/>
              <w:jc w:val="center"/>
              <w:rPr>
                <w:b/>
                <w:i/>
                <w:sz w:val="24"/>
                <w:szCs w:val="24"/>
              </w:rPr>
            </w:pPr>
            <w:r w:rsidRPr="006A3630">
              <w:rPr>
                <w:b/>
                <w:i/>
                <w:sz w:val="24"/>
                <w:szCs w:val="24"/>
              </w:rPr>
              <w:t>89,9</w:t>
            </w:r>
          </w:p>
        </w:tc>
        <w:tc>
          <w:tcPr>
            <w:tcW w:w="1159" w:type="dxa"/>
            <w:tcBorders>
              <w:top w:val="nil"/>
              <w:left w:val="single" w:sz="4" w:space="0" w:color="auto"/>
              <w:bottom w:val="double" w:sz="4" w:space="0" w:color="auto"/>
            </w:tcBorders>
            <w:shd w:val="clear" w:color="auto" w:fill="FFFFFF"/>
            <w:vAlign w:val="center"/>
          </w:tcPr>
          <w:p w:rsidR="007C50D0" w:rsidRPr="006A3630" w:rsidRDefault="007C50D0" w:rsidP="008619A6">
            <w:pPr>
              <w:ind w:left="-392" w:firstLine="392"/>
              <w:contextualSpacing/>
              <w:jc w:val="center"/>
              <w:rPr>
                <w:b/>
                <w:i/>
                <w:sz w:val="24"/>
                <w:szCs w:val="24"/>
              </w:rPr>
            </w:pPr>
            <w:r w:rsidRPr="006A3630">
              <w:rPr>
                <w:b/>
                <w:i/>
                <w:sz w:val="24"/>
                <w:szCs w:val="24"/>
              </w:rPr>
              <w:t>89,9</w:t>
            </w:r>
          </w:p>
        </w:tc>
      </w:tr>
    </w:tbl>
    <w:p w:rsidR="006A3630" w:rsidRDefault="006A3630" w:rsidP="008619A6">
      <w:pPr>
        <w:ind w:firstLine="851"/>
        <w:contextualSpacing/>
        <w:jc w:val="both"/>
        <w:rPr>
          <w:sz w:val="24"/>
          <w:szCs w:val="24"/>
        </w:rPr>
      </w:pPr>
    </w:p>
    <w:p w:rsidR="007C50D0" w:rsidRPr="007C50D0" w:rsidRDefault="007C50D0" w:rsidP="008619A6">
      <w:pPr>
        <w:ind w:firstLine="851"/>
        <w:contextualSpacing/>
        <w:jc w:val="both"/>
        <w:rPr>
          <w:sz w:val="24"/>
          <w:szCs w:val="24"/>
        </w:rPr>
      </w:pPr>
      <w:r w:rsidRPr="007C50D0">
        <w:rPr>
          <w:sz w:val="24"/>
          <w:szCs w:val="24"/>
        </w:rPr>
        <w:lastRenderedPageBreak/>
        <w:t xml:space="preserve">                                                                                                                         График 1</w:t>
      </w:r>
      <w:r w:rsidR="006C7CE1">
        <w:rPr>
          <w:sz w:val="24"/>
          <w:szCs w:val="24"/>
        </w:rPr>
        <w:t>4</w:t>
      </w:r>
    </w:p>
    <w:p w:rsidR="007C50D0" w:rsidRPr="007C50D0" w:rsidRDefault="00791A34" w:rsidP="008619A6">
      <w:pPr>
        <w:ind w:right="118" w:firstLine="567"/>
        <w:contextualSpacing/>
        <w:jc w:val="both"/>
        <w:rPr>
          <w:noProof/>
        </w:rPr>
      </w:pPr>
      <w:r>
        <w:rPr>
          <w:noProof/>
        </w:rPr>
        <w:t>–</w:t>
      </w:r>
      <w:r w:rsidR="007C50D0">
        <w:rPr>
          <w:noProof/>
        </w:rPr>
        <w:drawing>
          <wp:inline distT="0" distB="0" distL="0" distR="0" wp14:anchorId="2864EF60" wp14:editId="43400C6B">
            <wp:extent cx="5255741" cy="2875006"/>
            <wp:effectExtent l="0" t="0" r="21590" b="20955"/>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C50D0" w:rsidRPr="007C50D0" w:rsidRDefault="007C50D0" w:rsidP="008619A6">
      <w:pPr>
        <w:ind w:firstLine="960"/>
        <w:contextualSpacing/>
        <w:jc w:val="both"/>
        <w:rPr>
          <w:bCs/>
          <w:color w:val="000000"/>
          <w:sz w:val="28"/>
          <w:szCs w:val="28"/>
        </w:rPr>
      </w:pPr>
      <w:r w:rsidRPr="007C50D0">
        <w:rPr>
          <w:bCs/>
          <w:color w:val="000000"/>
          <w:sz w:val="28"/>
          <w:szCs w:val="28"/>
        </w:rPr>
        <w:t>В 2017 году в административном производстве районными (городскими) судами и мировыми судьями республики рассмотрено 99414 дел (в 2016 - 110396 дел), что 11% меньше предыдущего периода. Доля дел, рассмотренных на участках, составляет в административном производстве 89,3% от общего количества.</w:t>
      </w:r>
    </w:p>
    <w:p w:rsidR="007C50D0" w:rsidRPr="007C50D0" w:rsidRDefault="007C50D0" w:rsidP="008619A6">
      <w:pPr>
        <w:ind w:firstLine="960"/>
        <w:contextualSpacing/>
        <w:jc w:val="both"/>
        <w:rPr>
          <w:bCs/>
          <w:color w:val="000000"/>
          <w:sz w:val="28"/>
          <w:szCs w:val="28"/>
        </w:rPr>
      </w:pPr>
      <w:r w:rsidRPr="007C50D0">
        <w:rPr>
          <w:bCs/>
          <w:color w:val="000000"/>
          <w:sz w:val="28"/>
          <w:szCs w:val="28"/>
        </w:rPr>
        <w:t xml:space="preserve">Анализ результатов работы мировых судей за период с 2013 года по 2017 год позволяет сделать вывод о сохраняющейся тенденции роста показателя «Служебная нагрузка». </w:t>
      </w:r>
    </w:p>
    <w:p w:rsidR="00C97FDD" w:rsidRDefault="00C97FDD" w:rsidP="00791A34">
      <w:pPr>
        <w:ind w:firstLine="900"/>
        <w:contextualSpacing/>
        <w:jc w:val="both"/>
        <w:rPr>
          <w:bCs/>
          <w:sz w:val="28"/>
          <w:szCs w:val="28"/>
        </w:rPr>
      </w:pPr>
      <w:r w:rsidRPr="00C97FDD">
        <w:rPr>
          <w:bCs/>
          <w:sz w:val="28"/>
          <w:szCs w:val="28"/>
        </w:rPr>
        <w:t>По сравнению с прошлым отчетным периодом нагрузка мировых судей в гражданском и административном производстве увеличилась на 7,9 единиц и 2,6 единиц соответственно; при рассмотрении дел об административных правонарушениях увеличение показателя составило 8,4 единицы. В уголовном производстве нагрузка осталась  практически на уровне предыдущего года.</w:t>
      </w:r>
    </w:p>
    <w:p w:rsidR="00791A34" w:rsidRPr="007C50D0" w:rsidRDefault="00C97FDD" w:rsidP="00791A34">
      <w:pPr>
        <w:ind w:firstLine="900"/>
        <w:contextualSpacing/>
        <w:jc w:val="both"/>
        <w:rPr>
          <w:sz w:val="28"/>
          <w:szCs w:val="28"/>
        </w:rPr>
      </w:pPr>
      <w:r w:rsidRPr="00C97FDD">
        <w:rPr>
          <w:bCs/>
          <w:sz w:val="28"/>
          <w:szCs w:val="28"/>
        </w:rPr>
        <w:t xml:space="preserve"> </w:t>
      </w:r>
      <w:r w:rsidR="00791A34" w:rsidRPr="000A06D8">
        <w:rPr>
          <w:sz w:val="28"/>
          <w:szCs w:val="28"/>
        </w:rPr>
        <w:t xml:space="preserve">Нагрузка на мировых судей в Республике Татарстан в 2017 году </w:t>
      </w:r>
      <w:r w:rsidR="00F87976" w:rsidRPr="000A06D8">
        <w:rPr>
          <w:sz w:val="28"/>
          <w:szCs w:val="28"/>
        </w:rPr>
        <w:t>ниже</w:t>
      </w:r>
      <w:r w:rsidR="00791A34" w:rsidRPr="000A06D8">
        <w:rPr>
          <w:sz w:val="28"/>
          <w:szCs w:val="28"/>
        </w:rPr>
        <w:t xml:space="preserve"> среднего значения данного показателя по Приволжскому федеральному</w:t>
      </w:r>
      <w:r w:rsidR="00791A34" w:rsidRPr="007C50D0">
        <w:rPr>
          <w:sz w:val="28"/>
          <w:szCs w:val="28"/>
        </w:rPr>
        <w:t xml:space="preserve"> округу на </w:t>
      </w:r>
      <w:r w:rsidR="00791A34">
        <w:rPr>
          <w:sz w:val="28"/>
          <w:szCs w:val="28"/>
        </w:rPr>
        <w:t>1,4</w:t>
      </w:r>
      <w:r w:rsidR="00791A34" w:rsidRPr="007C50D0">
        <w:rPr>
          <w:sz w:val="28"/>
          <w:szCs w:val="28"/>
        </w:rPr>
        <w:t xml:space="preserve"> единиц — в уголовном производстве</w:t>
      </w:r>
      <w:r w:rsidR="00791A34">
        <w:rPr>
          <w:sz w:val="28"/>
          <w:szCs w:val="28"/>
        </w:rPr>
        <w:t xml:space="preserve"> и </w:t>
      </w:r>
      <w:r w:rsidR="00791A34" w:rsidRPr="007C50D0">
        <w:rPr>
          <w:sz w:val="28"/>
          <w:szCs w:val="28"/>
        </w:rPr>
        <w:t xml:space="preserve">на </w:t>
      </w:r>
      <w:r w:rsidR="00791A34">
        <w:rPr>
          <w:sz w:val="28"/>
          <w:szCs w:val="28"/>
        </w:rPr>
        <w:t xml:space="preserve">32,4 единицы </w:t>
      </w:r>
      <w:r w:rsidR="00791A34" w:rsidRPr="007C50D0">
        <w:rPr>
          <w:sz w:val="28"/>
          <w:szCs w:val="28"/>
        </w:rPr>
        <w:t xml:space="preserve"> — в гражданском и административном.</w:t>
      </w:r>
      <w:r w:rsidR="00F87976" w:rsidRPr="00F87976">
        <w:rPr>
          <w:bCs/>
          <w:color w:val="000000"/>
          <w:sz w:val="28"/>
          <w:szCs w:val="28"/>
        </w:rPr>
        <w:t xml:space="preserve"> </w:t>
      </w:r>
      <w:r w:rsidR="00F87976" w:rsidRPr="007C50D0">
        <w:rPr>
          <w:bCs/>
          <w:color w:val="000000"/>
          <w:sz w:val="28"/>
          <w:szCs w:val="28"/>
        </w:rPr>
        <w:t xml:space="preserve">Нагрузка при рассмотрении материалов </w:t>
      </w:r>
      <w:r w:rsidR="00F87976">
        <w:rPr>
          <w:bCs/>
          <w:color w:val="000000"/>
          <w:sz w:val="28"/>
          <w:szCs w:val="28"/>
        </w:rPr>
        <w:t xml:space="preserve"> и </w:t>
      </w:r>
      <w:r w:rsidR="00F87976" w:rsidRPr="007C50D0">
        <w:rPr>
          <w:bCs/>
          <w:color w:val="000000"/>
          <w:sz w:val="28"/>
          <w:szCs w:val="28"/>
        </w:rPr>
        <w:t>дел об административных правонарушениях выше уровня данного показателя по Приволжскому округу на 16,2 единицы в месяц</w:t>
      </w:r>
      <w:r w:rsidR="00F87976">
        <w:rPr>
          <w:bCs/>
          <w:color w:val="000000"/>
          <w:sz w:val="28"/>
          <w:szCs w:val="28"/>
        </w:rPr>
        <w:t>.</w:t>
      </w:r>
    </w:p>
    <w:p w:rsidR="007C50D0" w:rsidRPr="007C50D0" w:rsidRDefault="007C50D0" w:rsidP="008619A6">
      <w:pPr>
        <w:ind w:firstLine="900"/>
        <w:contextualSpacing/>
        <w:jc w:val="both"/>
        <w:rPr>
          <w:sz w:val="28"/>
          <w:szCs w:val="28"/>
        </w:rPr>
      </w:pPr>
      <w:r w:rsidRPr="007C50D0">
        <w:rPr>
          <w:sz w:val="24"/>
          <w:szCs w:val="24"/>
        </w:rPr>
        <w:t xml:space="preserve">                                                                                                                     Таблица 3</w:t>
      </w:r>
      <w:r w:rsidR="00F8243A">
        <w:rPr>
          <w:sz w:val="24"/>
          <w:szCs w:val="24"/>
        </w:rPr>
        <w:t>4</w:t>
      </w:r>
    </w:p>
    <w:tbl>
      <w:tblPr>
        <w:tblpPr w:leftFromText="180" w:rightFromText="180" w:vertAnchor="text" w:horzAnchor="margin" w:tblpXSpec="center" w:tblpY="98"/>
        <w:tblW w:w="9322"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1E0" w:firstRow="1" w:lastRow="1" w:firstColumn="1" w:lastColumn="1" w:noHBand="0" w:noVBand="0"/>
      </w:tblPr>
      <w:tblGrid>
        <w:gridCol w:w="3794"/>
        <w:gridCol w:w="850"/>
        <w:gridCol w:w="993"/>
        <w:gridCol w:w="1134"/>
        <w:gridCol w:w="1417"/>
        <w:gridCol w:w="1134"/>
      </w:tblGrid>
      <w:tr w:rsidR="007C50D0" w:rsidRPr="007C50D0" w:rsidTr="007C50D0">
        <w:trPr>
          <w:trHeight w:val="117"/>
        </w:trPr>
        <w:tc>
          <w:tcPr>
            <w:tcW w:w="9322" w:type="dxa"/>
            <w:gridSpan w:val="6"/>
            <w:tcBorders>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Нагрузка при рассмотрении дел мировым судьей в 1 инстанции</w:t>
            </w:r>
          </w:p>
        </w:tc>
      </w:tr>
      <w:tr w:rsidR="007C50D0" w:rsidRPr="007C50D0" w:rsidTr="007C50D0">
        <w:trPr>
          <w:trHeight w:val="99"/>
        </w:trPr>
        <w:tc>
          <w:tcPr>
            <w:tcW w:w="3794" w:type="dxa"/>
            <w:tcBorders>
              <w:top w:val="single" w:sz="4" w:space="0" w:color="auto"/>
              <w:bottom w:val="thickThinLargeGap" w:sz="2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Судопроизводство</w:t>
            </w:r>
          </w:p>
        </w:tc>
        <w:tc>
          <w:tcPr>
            <w:tcW w:w="850" w:type="dxa"/>
            <w:tcBorders>
              <w:top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2013</w:t>
            </w:r>
          </w:p>
        </w:tc>
        <w:tc>
          <w:tcPr>
            <w:tcW w:w="993"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2014</w:t>
            </w:r>
          </w:p>
        </w:tc>
        <w:tc>
          <w:tcPr>
            <w:tcW w:w="1134"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2015</w:t>
            </w:r>
          </w:p>
        </w:tc>
        <w:tc>
          <w:tcPr>
            <w:tcW w:w="1417"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2016</w:t>
            </w:r>
          </w:p>
        </w:tc>
        <w:tc>
          <w:tcPr>
            <w:tcW w:w="1134" w:type="dxa"/>
            <w:tcBorders>
              <w:top w:val="single" w:sz="4" w:space="0" w:color="auto"/>
              <w:left w:val="single" w:sz="4" w:space="0" w:color="auto"/>
              <w:bottom w:val="thickThinLargeGap" w:sz="2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7C50D0">
        <w:trPr>
          <w:trHeight w:val="150"/>
        </w:trPr>
        <w:tc>
          <w:tcPr>
            <w:tcW w:w="3794" w:type="dxa"/>
            <w:tcBorders>
              <w:top w:val="thickThinLargeGap" w:sz="2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Кол-во судей</w:t>
            </w:r>
          </w:p>
        </w:tc>
        <w:tc>
          <w:tcPr>
            <w:tcW w:w="850" w:type="dxa"/>
            <w:tcBorders>
              <w:top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w:t>
            </w:r>
            <w:r w:rsidRPr="007C50D0">
              <w:rPr>
                <w:i/>
                <w:sz w:val="24"/>
                <w:szCs w:val="24"/>
                <w:lang w:val="en-US"/>
              </w:rPr>
              <w:t>8</w:t>
            </w:r>
            <w:r w:rsidRPr="007C50D0">
              <w:rPr>
                <w:i/>
                <w:sz w:val="24"/>
                <w:szCs w:val="24"/>
              </w:rPr>
              <w:t>8</w:t>
            </w:r>
          </w:p>
        </w:tc>
        <w:tc>
          <w:tcPr>
            <w:tcW w:w="993" w:type="dxa"/>
            <w:tcBorders>
              <w:top w:val="thickThinLargeGap" w:sz="24"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w:t>
            </w:r>
            <w:r w:rsidRPr="007C50D0">
              <w:rPr>
                <w:i/>
                <w:sz w:val="24"/>
                <w:szCs w:val="24"/>
                <w:lang w:val="en-US"/>
              </w:rPr>
              <w:t>8</w:t>
            </w:r>
            <w:r w:rsidRPr="007C50D0">
              <w:rPr>
                <w:i/>
                <w:sz w:val="24"/>
                <w:szCs w:val="24"/>
              </w:rPr>
              <w:t>8</w:t>
            </w:r>
          </w:p>
        </w:tc>
        <w:tc>
          <w:tcPr>
            <w:tcW w:w="1134" w:type="dxa"/>
            <w:tcBorders>
              <w:top w:val="thickThinLargeGap" w:sz="24"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w:t>
            </w:r>
            <w:r w:rsidRPr="007C50D0">
              <w:rPr>
                <w:i/>
                <w:sz w:val="24"/>
                <w:szCs w:val="24"/>
                <w:lang w:val="en-US"/>
              </w:rPr>
              <w:t>8</w:t>
            </w:r>
            <w:r w:rsidRPr="007C50D0">
              <w:rPr>
                <w:i/>
                <w:sz w:val="24"/>
                <w:szCs w:val="24"/>
              </w:rPr>
              <w:t>8</w:t>
            </w:r>
          </w:p>
        </w:tc>
        <w:tc>
          <w:tcPr>
            <w:tcW w:w="1417" w:type="dxa"/>
            <w:tcBorders>
              <w:top w:val="thickThinLargeGap" w:sz="24"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w:t>
            </w:r>
            <w:r w:rsidRPr="007C50D0">
              <w:rPr>
                <w:i/>
                <w:sz w:val="24"/>
                <w:szCs w:val="24"/>
                <w:lang w:val="en-US"/>
              </w:rPr>
              <w:t>8</w:t>
            </w:r>
            <w:r w:rsidRPr="007C50D0">
              <w:rPr>
                <w:i/>
                <w:sz w:val="24"/>
                <w:szCs w:val="24"/>
              </w:rPr>
              <w:t>8</w:t>
            </w:r>
          </w:p>
        </w:tc>
        <w:tc>
          <w:tcPr>
            <w:tcW w:w="1134" w:type="dxa"/>
            <w:tcBorders>
              <w:top w:val="thickThinLargeGap" w:sz="24" w:space="0" w:color="auto"/>
              <w:lef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w:t>
            </w:r>
            <w:r w:rsidRPr="007C50D0">
              <w:rPr>
                <w:i/>
                <w:sz w:val="24"/>
                <w:szCs w:val="24"/>
                <w:lang w:val="en-US"/>
              </w:rPr>
              <w:t>8</w:t>
            </w:r>
            <w:r w:rsidRPr="007C50D0">
              <w:rPr>
                <w:i/>
                <w:sz w:val="24"/>
                <w:szCs w:val="24"/>
              </w:rPr>
              <w:t>8</w:t>
            </w:r>
          </w:p>
        </w:tc>
      </w:tr>
      <w:tr w:rsidR="007C50D0" w:rsidRPr="007C50D0" w:rsidTr="007C50D0">
        <w:trPr>
          <w:trHeight w:val="150"/>
        </w:trPr>
        <w:tc>
          <w:tcPr>
            <w:tcW w:w="3794" w:type="dxa"/>
            <w:shd w:val="clear" w:color="auto" w:fill="FFFFFF"/>
            <w:vAlign w:val="center"/>
          </w:tcPr>
          <w:p w:rsidR="007C50D0" w:rsidRPr="007C50D0" w:rsidRDefault="007C50D0" w:rsidP="008619A6">
            <w:pPr>
              <w:contextualSpacing/>
              <w:jc w:val="center"/>
              <w:rPr>
                <w:b/>
                <w:sz w:val="24"/>
                <w:szCs w:val="24"/>
                <w:lang w:val="en-US"/>
              </w:rPr>
            </w:pPr>
            <w:r w:rsidRPr="007C50D0">
              <w:rPr>
                <w:b/>
                <w:sz w:val="24"/>
                <w:szCs w:val="24"/>
              </w:rPr>
              <w:t>Уголовное</w:t>
            </w:r>
          </w:p>
        </w:tc>
        <w:tc>
          <w:tcPr>
            <w:tcW w:w="850" w:type="dxa"/>
            <w:tcBorders>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4,5</w:t>
            </w:r>
          </w:p>
        </w:tc>
        <w:tc>
          <w:tcPr>
            <w:tcW w:w="993"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4,2</w:t>
            </w: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4,8</w:t>
            </w:r>
          </w:p>
        </w:tc>
        <w:tc>
          <w:tcPr>
            <w:tcW w:w="1417"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5,1</w:t>
            </w:r>
          </w:p>
        </w:tc>
        <w:tc>
          <w:tcPr>
            <w:tcW w:w="1134" w:type="dxa"/>
            <w:tcBorders>
              <w:lef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4,8</w:t>
            </w:r>
          </w:p>
        </w:tc>
      </w:tr>
      <w:tr w:rsidR="007C50D0" w:rsidRPr="007C50D0" w:rsidTr="007C50D0">
        <w:trPr>
          <w:trHeight w:val="155"/>
        </w:trPr>
        <w:tc>
          <w:tcPr>
            <w:tcW w:w="3794" w:type="dxa"/>
            <w:shd w:val="clear" w:color="auto" w:fill="FFFFFF"/>
            <w:vAlign w:val="center"/>
          </w:tcPr>
          <w:p w:rsidR="007C50D0" w:rsidRPr="007C50D0" w:rsidRDefault="007C50D0" w:rsidP="008619A6">
            <w:pPr>
              <w:contextualSpacing/>
              <w:jc w:val="center"/>
              <w:rPr>
                <w:b/>
                <w:sz w:val="24"/>
                <w:szCs w:val="24"/>
                <w:lang w:val="en-US"/>
              </w:rPr>
            </w:pPr>
            <w:r w:rsidRPr="007C50D0">
              <w:rPr>
                <w:b/>
                <w:sz w:val="24"/>
                <w:szCs w:val="24"/>
              </w:rPr>
              <w:t>Гражданское</w:t>
            </w:r>
          </w:p>
        </w:tc>
        <w:tc>
          <w:tcPr>
            <w:tcW w:w="850" w:type="dxa"/>
            <w:tcBorders>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175,2</w:t>
            </w:r>
          </w:p>
        </w:tc>
        <w:tc>
          <w:tcPr>
            <w:tcW w:w="993"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137,7</w:t>
            </w: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151,6</w:t>
            </w:r>
          </w:p>
        </w:tc>
        <w:tc>
          <w:tcPr>
            <w:tcW w:w="1417"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111,6</w:t>
            </w:r>
          </w:p>
        </w:tc>
        <w:tc>
          <w:tcPr>
            <w:tcW w:w="1134" w:type="dxa"/>
            <w:tcBorders>
              <w:lef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119,5</w:t>
            </w:r>
          </w:p>
        </w:tc>
      </w:tr>
      <w:tr w:rsidR="007C50D0" w:rsidRPr="007C50D0" w:rsidTr="007C50D0">
        <w:trPr>
          <w:trHeight w:val="62"/>
        </w:trPr>
        <w:tc>
          <w:tcPr>
            <w:tcW w:w="3794" w:type="dxa"/>
            <w:shd w:val="clear" w:color="auto" w:fill="FFFFFF"/>
            <w:vAlign w:val="center"/>
          </w:tcPr>
          <w:p w:rsidR="007C50D0" w:rsidRPr="007C50D0" w:rsidRDefault="007C50D0" w:rsidP="008619A6">
            <w:pPr>
              <w:contextualSpacing/>
              <w:jc w:val="center"/>
              <w:rPr>
                <w:b/>
                <w:sz w:val="24"/>
                <w:szCs w:val="24"/>
              </w:rPr>
            </w:pPr>
            <w:r w:rsidRPr="007C50D0">
              <w:rPr>
                <w:b/>
                <w:sz w:val="24"/>
                <w:szCs w:val="24"/>
              </w:rPr>
              <w:t>Административные дела</w:t>
            </w:r>
          </w:p>
        </w:tc>
        <w:tc>
          <w:tcPr>
            <w:tcW w:w="850" w:type="dxa"/>
            <w:tcBorders>
              <w:right w:val="single" w:sz="4" w:space="0" w:color="auto"/>
            </w:tcBorders>
            <w:shd w:val="clear" w:color="auto" w:fill="FFFFFF"/>
            <w:vAlign w:val="center"/>
          </w:tcPr>
          <w:p w:rsidR="007C50D0" w:rsidRPr="007C50D0" w:rsidRDefault="007C50D0" w:rsidP="008619A6">
            <w:pPr>
              <w:contextualSpacing/>
              <w:jc w:val="center"/>
              <w:rPr>
                <w:bCs/>
                <w:i/>
                <w:sz w:val="24"/>
                <w:szCs w:val="24"/>
              </w:rPr>
            </w:pPr>
          </w:p>
        </w:tc>
        <w:tc>
          <w:tcPr>
            <w:tcW w:w="993"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p>
        </w:tc>
        <w:tc>
          <w:tcPr>
            <w:tcW w:w="1417"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42,4</w:t>
            </w:r>
          </w:p>
        </w:tc>
        <w:tc>
          <w:tcPr>
            <w:tcW w:w="1134" w:type="dxa"/>
            <w:tcBorders>
              <w:lef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45,0</w:t>
            </w:r>
          </w:p>
        </w:tc>
      </w:tr>
      <w:tr w:rsidR="007C50D0" w:rsidRPr="007C50D0" w:rsidTr="007C50D0">
        <w:trPr>
          <w:trHeight w:val="149"/>
        </w:trPr>
        <w:tc>
          <w:tcPr>
            <w:tcW w:w="3794" w:type="dxa"/>
            <w:shd w:val="clear" w:color="auto" w:fill="FFFFFF"/>
            <w:vAlign w:val="center"/>
          </w:tcPr>
          <w:p w:rsidR="007C50D0" w:rsidRPr="007C50D0" w:rsidRDefault="007C50D0" w:rsidP="008619A6">
            <w:pPr>
              <w:contextualSpacing/>
              <w:jc w:val="center"/>
              <w:rPr>
                <w:b/>
                <w:sz w:val="24"/>
                <w:szCs w:val="24"/>
              </w:rPr>
            </w:pPr>
            <w:r w:rsidRPr="007C50D0">
              <w:rPr>
                <w:b/>
                <w:sz w:val="24"/>
                <w:szCs w:val="24"/>
              </w:rPr>
              <w:t>Производство об АП</w:t>
            </w:r>
          </w:p>
        </w:tc>
        <w:tc>
          <w:tcPr>
            <w:tcW w:w="850" w:type="dxa"/>
            <w:tcBorders>
              <w:right w:val="single" w:sz="4" w:space="0" w:color="auto"/>
            </w:tcBorders>
            <w:shd w:val="clear" w:color="auto" w:fill="FFFFFF"/>
            <w:vAlign w:val="center"/>
          </w:tcPr>
          <w:p w:rsidR="007C50D0" w:rsidRPr="007C50D0" w:rsidRDefault="007C50D0" w:rsidP="008619A6">
            <w:pPr>
              <w:contextualSpacing/>
              <w:jc w:val="center"/>
              <w:rPr>
                <w:bCs/>
                <w:i/>
                <w:sz w:val="24"/>
                <w:szCs w:val="24"/>
                <w:lang w:val="en-US"/>
              </w:rPr>
            </w:pPr>
            <w:r w:rsidRPr="007C50D0">
              <w:rPr>
                <w:bCs/>
                <w:i/>
                <w:sz w:val="24"/>
                <w:szCs w:val="24"/>
              </w:rPr>
              <w:t>71</w:t>
            </w:r>
            <w:r w:rsidRPr="007C50D0">
              <w:rPr>
                <w:bCs/>
                <w:i/>
                <w:sz w:val="24"/>
                <w:szCs w:val="24"/>
                <w:lang w:val="en-US"/>
              </w:rPr>
              <w:t>,</w:t>
            </w:r>
            <w:r w:rsidRPr="007C50D0">
              <w:rPr>
                <w:bCs/>
                <w:i/>
                <w:sz w:val="24"/>
                <w:szCs w:val="24"/>
              </w:rPr>
              <w:t>2</w:t>
            </w:r>
          </w:p>
        </w:tc>
        <w:tc>
          <w:tcPr>
            <w:tcW w:w="993" w:type="dxa"/>
            <w:tcBorders>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86</w:t>
            </w:r>
            <w:r w:rsidRPr="007C50D0">
              <w:rPr>
                <w:bCs/>
                <w:i/>
                <w:sz w:val="24"/>
                <w:szCs w:val="24"/>
                <w:lang w:val="en-US"/>
              </w:rPr>
              <w:t>,</w:t>
            </w:r>
            <w:r w:rsidRPr="007C50D0">
              <w:rPr>
                <w:bCs/>
                <w:i/>
                <w:sz w:val="24"/>
                <w:szCs w:val="24"/>
              </w:rPr>
              <w:t>1</w:t>
            </w:r>
          </w:p>
        </w:tc>
        <w:tc>
          <w:tcPr>
            <w:tcW w:w="1134" w:type="dxa"/>
            <w:tcBorders>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83</w:t>
            </w:r>
            <w:r w:rsidRPr="007C50D0">
              <w:rPr>
                <w:bCs/>
                <w:i/>
                <w:sz w:val="24"/>
                <w:szCs w:val="24"/>
                <w:lang w:val="en-US"/>
              </w:rPr>
              <w:t>,</w:t>
            </w:r>
            <w:r w:rsidRPr="007C50D0">
              <w:rPr>
                <w:bCs/>
                <w:i/>
                <w:sz w:val="24"/>
                <w:szCs w:val="24"/>
              </w:rPr>
              <w:t>2</w:t>
            </w:r>
          </w:p>
        </w:tc>
        <w:tc>
          <w:tcPr>
            <w:tcW w:w="1417" w:type="dxa"/>
            <w:tcBorders>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88</w:t>
            </w:r>
            <w:r w:rsidRPr="007C50D0">
              <w:rPr>
                <w:bCs/>
                <w:i/>
                <w:sz w:val="24"/>
                <w:szCs w:val="24"/>
                <w:lang w:val="en-US"/>
              </w:rPr>
              <w:t>,</w:t>
            </w:r>
            <w:r w:rsidRPr="007C50D0">
              <w:rPr>
                <w:bCs/>
                <w:i/>
                <w:sz w:val="24"/>
                <w:szCs w:val="24"/>
              </w:rPr>
              <w:t>6</w:t>
            </w:r>
          </w:p>
        </w:tc>
        <w:tc>
          <w:tcPr>
            <w:tcW w:w="1134" w:type="dxa"/>
            <w:tcBorders>
              <w:lef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97</w:t>
            </w:r>
            <w:r w:rsidRPr="007C50D0">
              <w:rPr>
                <w:bCs/>
                <w:i/>
                <w:sz w:val="24"/>
                <w:szCs w:val="24"/>
                <w:lang w:val="en-US"/>
              </w:rPr>
              <w:t>,</w:t>
            </w:r>
            <w:r w:rsidRPr="007C50D0">
              <w:rPr>
                <w:bCs/>
                <w:i/>
                <w:sz w:val="24"/>
                <w:szCs w:val="24"/>
              </w:rPr>
              <w:t>0</w:t>
            </w:r>
          </w:p>
        </w:tc>
      </w:tr>
    </w:tbl>
    <w:p w:rsidR="007C50D0" w:rsidRPr="007C50D0" w:rsidRDefault="007C50D0" w:rsidP="008619A6">
      <w:pPr>
        <w:ind w:firstLine="960"/>
        <w:contextualSpacing/>
        <w:jc w:val="both"/>
        <w:rPr>
          <w:bCs/>
          <w:color w:val="000000"/>
          <w:sz w:val="28"/>
          <w:szCs w:val="28"/>
        </w:rPr>
      </w:pPr>
      <w:r w:rsidRPr="007C50D0">
        <w:rPr>
          <w:bCs/>
          <w:color w:val="000000"/>
          <w:sz w:val="28"/>
          <w:szCs w:val="28"/>
        </w:rPr>
        <w:t>В целом служебная нагрузка на мирового судью составляет 266,3 единицы в месяц, что на 18,6</w:t>
      </w:r>
      <w:r w:rsidR="00C97FDD">
        <w:rPr>
          <w:bCs/>
          <w:color w:val="000000"/>
          <w:sz w:val="28"/>
          <w:szCs w:val="28"/>
        </w:rPr>
        <w:t xml:space="preserve"> единиц</w:t>
      </w:r>
      <w:r w:rsidRPr="007C50D0">
        <w:rPr>
          <w:bCs/>
          <w:color w:val="000000"/>
          <w:sz w:val="28"/>
          <w:szCs w:val="28"/>
        </w:rPr>
        <w:t xml:space="preserve"> больше, чем в 2016 году.</w:t>
      </w:r>
    </w:p>
    <w:p w:rsidR="007C50D0" w:rsidRPr="007C50D0" w:rsidRDefault="007C50D0" w:rsidP="008619A6">
      <w:pPr>
        <w:ind w:firstLine="960"/>
        <w:contextualSpacing/>
        <w:jc w:val="both"/>
        <w:rPr>
          <w:bCs/>
          <w:color w:val="000000"/>
          <w:sz w:val="28"/>
          <w:szCs w:val="28"/>
        </w:rPr>
      </w:pPr>
      <w:r w:rsidRPr="007C50D0">
        <w:rPr>
          <w:bCs/>
          <w:color w:val="000000"/>
          <w:sz w:val="28"/>
          <w:szCs w:val="28"/>
        </w:rPr>
        <w:lastRenderedPageBreak/>
        <w:t xml:space="preserve">С учетом количества рассмотренных материалов введен такой показатель как «Нагрузка общая», отражающий степень действительной служебной загруженности мировых судей республики. </w:t>
      </w:r>
    </w:p>
    <w:p w:rsidR="007C50D0" w:rsidRPr="007C50D0" w:rsidRDefault="007C50D0" w:rsidP="008619A6">
      <w:pPr>
        <w:ind w:firstLine="900"/>
        <w:contextualSpacing/>
        <w:jc w:val="both"/>
        <w:rPr>
          <w:sz w:val="28"/>
          <w:szCs w:val="28"/>
        </w:rPr>
      </w:pPr>
      <w:r w:rsidRPr="007C50D0">
        <w:rPr>
          <w:sz w:val="24"/>
          <w:szCs w:val="24"/>
        </w:rPr>
        <w:t xml:space="preserve">                                                                                                                       Таблица </w:t>
      </w:r>
      <w:r w:rsidR="00F8243A">
        <w:rPr>
          <w:sz w:val="24"/>
          <w:szCs w:val="24"/>
        </w:rPr>
        <w:t>35</w:t>
      </w:r>
    </w:p>
    <w:tbl>
      <w:tblPr>
        <w:tblpPr w:leftFromText="180" w:rightFromText="180" w:vertAnchor="text" w:horzAnchor="page" w:tblpX="1690" w:tblpY="193"/>
        <w:tblW w:w="945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1E0" w:firstRow="1" w:lastRow="1" w:firstColumn="1" w:lastColumn="1" w:noHBand="0" w:noVBand="0"/>
      </w:tblPr>
      <w:tblGrid>
        <w:gridCol w:w="3579"/>
        <w:gridCol w:w="1383"/>
        <w:gridCol w:w="1134"/>
        <w:gridCol w:w="1134"/>
        <w:gridCol w:w="1134"/>
        <w:gridCol w:w="1094"/>
      </w:tblGrid>
      <w:tr w:rsidR="007C50D0" w:rsidRPr="007C50D0" w:rsidTr="007C50D0">
        <w:trPr>
          <w:trHeight w:val="109"/>
        </w:trPr>
        <w:tc>
          <w:tcPr>
            <w:tcW w:w="9458" w:type="dxa"/>
            <w:gridSpan w:val="6"/>
            <w:tcBorders>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Нагрузка общая за 12 месяцев</w:t>
            </w:r>
          </w:p>
        </w:tc>
      </w:tr>
      <w:tr w:rsidR="007C50D0" w:rsidRPr="007C50D0" w:rsidTr="007C50D0">
        <w:trPr>
          <w:trHeight w:val="62"/>
        </w:trPr>
        <w:tc>
          <w:tcPr>
            <w:tcW w:w="3579" w:type="dxa"/>
            <w:tcBorders>
              <w:top w:val="single" w:sz="4" w:space="0" w:color="auto"/>
              <w:bottom w:val="thickThinLargeGap" w:sz="2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Судопроизводство</w:t>
            </w:r>
          </w:p>
        </w:tc>
        <w:tc>
          <w:tcPr>
            <w:tcW w:w="1383" w:type="dxa"/>
            <w:tcBorders>
              <w:top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2013</w:t>
            </w:r>
          </w:p>
        </w:tc>
        <w:tc>
          <w:tcPr>
            <w:tcW w:w="1134"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2014</w:t>
            </w:r>
          </w:p>
        </w:tc>
        <w:tc>
          <w:tcPr>
            <w:tcW w:w="1134"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2015</w:t>
            </w:r>
          </w:p>
        </w:tc>
        <w:tc>
          <w:tcPr>
            <w:tcW w:w="1134"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2016</w:t>
            </w:r>
          </w:p>
        </w:tc>
        <w:tc>
          <w:tcPr>
            <w:tcW w:w="1094" w:type="dxa"/>
            <w:tcBorders>
              <w:top w:val="single" w:sz="4" w:space="0" w:color="auto"/>
              <w:left w:val="single" w:sz="4" w:space="0" w:color="auto"/>
              <w:bottom w:val="thickThinLargeGap" w:sz="2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7C50D0">
        <w:trPr>
          <w:trHeight w:val="19"/>
        </w:trPr>
        <w:tc>
          <w:tcPr>
            <w:tcW w:w="3579" w:type="dxa"/>
            <w:tcBorders>
              <w:top w:val="thickThinLargeGap" w:sz="2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Кол-во судей</w:t>
            </w:r>
          </w:p>
        </w:tc>
        <w:tc>
          <w:tcPr>
            <w:tcW w:w="1383" w:type="dxa"/>
            <w:tcBorders>
              <w:top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w:t>
            </w:r>
            <w:r w:rsidRPr="007C50D0">
              <w:rPr>
                <w:i/>
                <w:sz w:val="24"/>
                <w:szCs w:val="24"/>
                <w:lang w:val="en-US"/>
              </w:rPr>
              <w:t>8</w:t>
            </w:r>
            <w:r w:rsidRPr="007C50D0">
              <w:rPr>
                <w:i/>
                <w:sz w:val="24"/>
                <w:szCs w:val="24"/>
              </w:rPr>
              <w:t>8</w:t>
            </w:r>
          </w:p>
        </w:tc>
        <w:tc>
          <w:tcPr>
            <w:tcW w:w="1134" w:type="dxa"/>
            <w:tcBorders>
              <w:top w:val="thickThinLargeGap" w:sz="24"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w:t>
            </w:r>
            <w:r w:rsidRPr="007C50D0">
              <w:rPr>
                <w:i/>
                <w:sz w:val="24"/>
                <w:szCs w:val="24"/>
                <w:lang w:val="en-US"/>
              </w:rPr>
              <w:t>8</w:t>
            </w:r>
            <w:r w:rsidRPr="007C50D0">
              <w:rPr>
                <w:i/>
                <w:sz w:val="24"/>
                <w:szCs w:val="24"/>
              </w:rPr>
              <w:t>8</w:t>
            </w:r>
          </w:p>
        </w:tc>
        <w:tc>
          <w:tcPr>
            <w:tcW w:w="1134" w:type="dxa"/>
            <w:tcBorders>
              <w:top w:val="thickThinLargeGap" w:sz="24"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w:t>
            </w:r>
            <w:r w:rsidRPr="007C50D0">
              <w:rPr>
                <w:i/>
                <w:sz w:val="24"/>
                <w:szCs w:val="24"/>
                <w:lang w:val="en-US"/>
              </w:rPr>
              <w:t>8</w:t>
            </w:r>
            <w:r w:rsidRPr="007C50D0">
              <w:rPr>
                <w:i/>
                <w:sz w:val="24"/>
                <w:szCs w:val="24"/>
              </w:rPr>
              <w:t>8</w:t>
            </w:r>
          </w:p>
        </w:tc>
        <w:tc>
          <w:tcPr>
            <w:tcW w:w="1134" w:type="dxa"/>
            <w:tcBorders>
              <w:top w:val="thickThinLargeGap" w:sz="24"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w:t>
            </w:r>
            <w:r w:rsidRPr="007C50D0">
              <w:rPr>
                <w:i/>
                <w:sz w:val="24"/>
                <w:szCs w:val="24"/>
                <w:lang w:val="en-US"/>
              </w:rPr>
              <w:t>8</w:t>
            </w:r>
            <w:r w:rsidRPr="007C50D0">
              <w:rPr>
                <w:i/>
                <w:sz w:val="24"/>
                <w:szCs w:val="24"/>
              </w:rPr>
              <w:t>8</w:t>
            </w:r>
          </w:p>
        </w:tc>
        <w:tc>
          <w:tcPr>
            <w:tcW w:w="1094" w:type="dxa"/>
            <w:tcBorders>
              <w:top w:val="thickThinLargeGap" w:sz="24" w:space="0" w:color="auto"/>
              <w:lef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w:t>
            </w:r>
            <w:r w:rsidRPr="007C50D0">
              <w:rPr>
                <w:i/>
                <w:sz w:val="24"/>
                <w:szCs w:val="24"/>
                <w:lang w:val="en-US"/>
              </w:rPr>
              <w:t>8</w:t>
            </w:r>
            <w:r w:rsidRPr="007C50D0">
              <w:rPr>
                <w:i/>
                <w:sz w:val="24"/>
                <w:szCs w:val="24"/>
              </w:rPr>
              <w:t>8</w:t>
            </w:r>
          </w:p>
        </w:tc>
      </w:tr>
      <w:tr w:rsidR="007C50D0" w:rsidRPr="007C50D0" w:rsidTr="007C50D0">
        <w:trPr>
          <w:trHeight w:val="62"/>
        </w:trPr>
        <w:tc>
          <w:tcPr>
            <w:tcW w:w="3579" w:type="dxa"/>
            <w:shd w:val="clear" w:color="auto" w:fill="FFFFFF"/>
            <w:vAlign w:val="center"/>
          </w:tcPr>
          <w:p w:rsidR="007C50D0" w:rsidRPr="007C50D0" w:rsidRDefault="007C50D0" w:rsidP="008619A6">
            <w:pPr>
              <w:contextualSpacing/>
              <w:jc w:val="center"/>
              <w:rPr>
                <w:b/>
                <w:sz w:val="24"/>
                <w:szCs w:val="24"/>
                <w:lang w:val="en-US"/>
              </w:rPr>
            </w:pPr>
            <w:r w:rsidRPr="007C50D0">
              <w:rPr>
                <w:b/>
                <w:sz w:val="24"/>
                <w:szCs w:val="24"/>
              </w:rPr>
              <w:t>Уголовное</w:t>
            </w:r>
          </w:p>
        </w:tc>
        <w:tc>
          <w:tcPr>
            <w:tcW w:w="1383" w:type="dxa"/>
            <w:tcBorders>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6,9</w:t>
            </w: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6,2</w:t>
            </w: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6,8</w:t>
            </w: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7,1</w:t>
            </w:r>
          </w:p>
        </w:tc>
        <w:tc>
          <w:tcPr>
            <w:tcW w:w="1094" w:type="dxa"/>
            <w:tcBorders>
              <w:lef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5,6</w:t>
            </w:r>
          </w:p>
        </w:tc>
      </w:tr>
      <w:tr w:rsidR="007C50D0" w:rsidRPr="007C50D0" w:rsidTr="007C50D0">
        <w:trPr>
          <w:trHeight w:val="62"/>
        </w:trPr>
        <w:tc>
          <w:tcPr>
            <w:tcW w:w="3579" w:type="dxa"/>
            <w:shd w:val="clear" w:color="auto" w:fill="FFFFFF"/>
            <w:vAlign w:val="center"/>
          </w:tcPr>
          <w:p w:rsidR="007C50D0" w:rsidRPr="007C50D0" w:rsidRDefault="007C50D0" w:rsidP="008619A6">
            <w:pPr>
              <w:contextualSpacing/>
              <w:jc w:val="center"/>
              <w:rPr>
                <w:b/>
                <w:sz w:val="24"/>
                <w:szCs w:val="24"/>
                <w:lang w:val="en-US"/>
              </w:rPr>
            </w:pPr>
            <w:r w:rsidRPr="007C50D0">
              <w:rPr>
                <w:b/>
                <w:sz w:val="24"/>
                <w:szCs w:val="24"/>
              </w:rPr>
              <w:t>Гражданское</w:t>
            </w:r>
          </w:p>
        </w:tc>
        <w:tc>
          <w:tcPr>
            <w:tcW w:w="1383" w:type="dxa"/>
            <w:tcBorders>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180,2</w:t>
            </w: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143</w:t>
            </w: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157,1</w:t>
            </w: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116</w:t>
            </w:r>
          </w:p>
        </w:tc>
        <w:tc>
          <w:tcPr>
            <w:tcW w:w="1094" w:type="dxa"/>
            <w:tcBorders>
              <w:lef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127,1</w:t>
            </w:r>
          </w:p>
        </w:tc>
      </w:tr>
      <w:tr w:rsidR="007C50D0" w:rsidRPr="007C50D0" w:rsidTr="007C50D0">
        <w:trPr>
          <w:trHeight w:val="62"/>
        </w:trPr>
        <w:tc>
          <w:tcPr>
            <w:tcW w:w="3579" w:type="dxa"/>
            <w:shd w:val="clear" w:color="auto" w:fill="FFFFFF"/>
            <w:vAlign w:val="center"/>
          </w:tcPr>
          <w:p w:rsidR="007C50D0" w:rsidRPr="007C50D0" w:rsidRDefault="007C50D0" w:rsidP="008619A6">
            <w:pPr>
              <w:contextualSpacing/>
              <w:jc w:val="center"/>
              <w:rPr>
                <w:b/>
                <w:sz w:val="24"/>
                <w:szCs w:val="24"/>
              </w:rPr>
            </w:pPr>
            <w:r w:rsidRPr="007C50D0">
              <w:rPr>
                <w:b/>
                <w:sz w:val="24"/>
                <w:szCs w:val="24"/>
              </w:rPr>
              <w:t>Административное</w:t>
            </w:r>
          </w:p>
        </w:tc>
        <w:tc>
          <w:tcPr>
            <w:tcW w:w="1383" w:type="dxa"/>
            <w:tcBorders>
              <w:right w:val="single" w:sz="4" w:space="0" w:color="auto"/>
            </w:tcBorders>
            <w:shd w:val="clear" w:color="auto" w:fill="FFFFFF"/>
            <w:vAlign w:val="center"/>
          </w:tcPr>
          <w:p w:rsidR="007C50D0" w:rsidRPr="007C50D0" w:rsidRDefault="007C50D0" w:rsidP="008619A6">
            <w:pPr>
              <w:contextualSpacing/>
              <w:jc w:val="center"/>
              <w:rPr>
                <w:bCs/>
                <w:i/>
                <w:sz w:val="24"/>
                <w:szCs w:val="24"/>
              </w:rPr>
            </w:pP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42,4</w:t>
            </w:r>
          </w:p>
        </w:tc>
        <w:tc>
          <w:tcPr>
            <w:tcW w:w="1094" w:type="dxa"/>
            <w:tcBorders>
              <w:lef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45,6</w:t>
            </w:r>
          </w:p>
        </w:tc>
      </w:tr>
      <w:tr w:rsidR="007C50D0" w:rsidRPr="007C50D0" w:rsidTr="007C50D0">
        <w:trPr>
          <w:trHeight w:val="62"/>
        </w:trPr>
        <w:tc>
          <w:tcPr>
            <w:tcW w:w="3579" w:type="dxa"/>
            <w:shd w:val="clear" w:color="auto" w:fill="FFFFFF"/>
            <w:vAlign w:val="center"/>
          </w:tcPr>
          <w:p w:rsidR="007C50D0" w:rsidRPr="007C50D0" w:rsidRDefault="007C50D0" w:rsidP="008619A6">
            <w:pPr>
              <w:contextualSpacing/>
              <w:jc w:val="center"/>
              <w:rPr>
                <w:b/>
                <w:sz w:val="24"/>
                <w:szCs w:val="24"/>
                <w:lang w:val="en-US"/>
              </w:rPr>
            </w:pPr>
            <w:r w:rsidRPr="007C50D0">
              <w:rPr>
                <w:b/>
                <w:sz w:val="24"/>
                <w:szCs w:val="24"/>
              </w:rPr>
              <w:t>Производство об АП</w:t>
            </w:r>
          </w:p>
        </w:tc>
        <w:tc>
          <w:tcPr>
            <w:tcW w:w="1383" w:type="dxa"/>
            <w:tcBorders>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71,2</w:t>
            </w: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86</w:t>
            </w:r>
            <w:r w:rsidRPr="007C50D0">
              <w:rPr>
                <w:bCs/>
                <w:i/>
                <w:sz w:val="24"/>
                <w:szCs w:val="24"/>
                <w:lang w:val="en-US"/>
              </w:rPr>
              <w:t>,</w:t>
            </w:r>
            <w:r w:rsidRPr="007C50D0">
              <w:rPr>
                <w:bCs/>
                <w:i/>
                <w:sz w:val="24"/>
                <w:szCs w:val="24"/>
              </w:rPr>
              <w:t>2</w:t>
            </w: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83</w:t>
            </w:r>
            <w:r w:rsidRPr="007C50D0">
              <w:rPr>
                <w:bCs/>
                <w:i/>
                <w:sz w:val="24"/>
                <w:szCs w:val="24"/>
                <w:lang w:val="en-US"/>
              </w:rPr>
              <w:t>,</w:t>
            </w:r>
            <w:r w:rsidRPr="007C50D0">
              <w:rPr>
                <w:bCs/>
                <w:i/>
                <w:sz w:val="24"/>
                <w:szCs w:val="24"/>
              </w:rPr>
              <w:t>4</w:t>
            </w:r>
          </w:p>
        </w:tc>
        <w:tc>
          <w:tcPr>
            <w:tcW w:w="1134" w:type="dxa"/>
            <w:tcBorders>
              <w:left w:val="single" w:sz="4" w:space="0" w:color="auto"/>
              <w:righ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89</w:t>
            </w:r>
          </w:p>
        </w:tc>
        <w:tc>
          <w:tcPr>
            <w:tcW w:w="1094" w:type="dxa"/>
            <w:tcBorders>
              <w:left w:val="single" w:sz="4" w:space="0" w:color="auto"/>
            </w:tcBorders>
            <w:shd w:val="clear" w:color="auto" w:fill="FFFFFF"/>
            <w:vAlign w:val="center"/>
          </w:tcPr>
          <w:p w:rsidR="007C50D0" w:rsidRPr="007C50D0" w:rsidRDefault="007C50D0" w:rsidP="008619A6">
            <w:pPr>
              <w:contextualSpacing/>
              <w:jc w:val="center"/>
              <w:rPr>
                <w:bCs/>
                <w:i/>
                <w:sz w:val="24"/>
                <w:szCs w:val="24"/>
              </w:rPr>
            </w:pPr>
            <w:r w:rsidRPr="007C50D0">
              <w:rPr>
                <w:bCs/>
                <w:i/>
                <w:sz w:val="24"/>
                <w:szCs w:val="24"/>
              </w:rPr>
              <w:t>97,4</w:t>
            </w:r>
          </w:p>
        </w:tc>
      </w:tr>
    </w:tbl>
    <w:p w:rsidR="007C50D0" w:rsidRPr="007C50D0" w:rsidRDefault="007C50D0" w:rsidP="008619A6">
      <w:pPr>
        <w:ind w:firstLine="960"/>
        <w:contextualSpacing/>
        <w:jc w:val="both"/>
        <w:rPr>
          <w:bCs/>
          <w:color w:val="000000"/>
          <w:sz w:val="28"/>
          <w:szCs w:val="28"/>
        </w:rPr>
      </w:pPr>
      <w:r w:rsidRPr="007C50D0">
        <w:rPr>
          <w:bCs/>
          <w:color w:val="000000"/>
          <w:sz w:val="28"/>
          <w:szCs w:val="28"/>
        </w:rPr>
        <w:t xml:space="preserve">Из данных, представленных в Таблице </w:t>
      </w:r>
      <w:r w:rsidR="00C97FDD">
        <w:rPr>
          <w:bCs/>
          <w:color w:val="000000"/>
          <w:sz w:val="28"/>
          <w:szCs w:val="28"/>
        </w:rPr>
        <w:t>35</w:t>
      </w:r>
      <w:r w:rsidRPr="007C50D0">
        <w:rPr>
          <w:bCs/>
          <w:color w:val="000000"/>
          <w:sz w:val="28"/>
          <w:szCs w:val="28"/>
        </w:rPr>
        <w:t xml:space="preserve">, следует, что общая нагрузка на мирового судью в гражданском, административном производстве и производстве об административных правонарушениях имеет тенденцию </w:t>
      </w:r>
      <w:r w:rsidRPr="00C97FDD">
        <w:rPr>
          <w:bCs/>
          <w:sz w:val="28"/>
          <w:szCs w:val="28"/>
        </w:rPr>
        <w:t xml:space="preserve">роста. </w:t>
      </w:r>
      <w:r w:rsidR="00C97FDD" w:rsidRPr="00C97FDD">
        <w:rPr>
          <w:bCs/>
          <w:sz w:val="28"/>
          <w:szCs w:val="28"/>
        </w:rPr>
        <w:t>Общая н</w:t>
      </w:r>
      <w:r w:rsidRPr="00C97FDD">
        <w:rPr>
          <w:bCs/>
          <w:sz w:val="28"/>
          <w:szCs w:val="28"/>
        </w:rPr>
        <w:t xml:space="preserve">агрузка в уголовном производстве снизилась </w:t>
      </w:r>
      <w:r w:rsidR="00C97FDD" w:rsidRPr="00C97FDD">
        <w:rPr>
          <w:bCs/>
          <w:sz w:val="28"/>
          <w:szCs w:val="28"/>
        </w:rPr>
        <w:t xml:space="preserve">на 1,5 единиц </w:t>
      </w:r>
      <w:r w:rsidRPr="00C97FDD">
        <w:rPr>
          <w:bCs/>
          <w:sz w:val="28"/>
          <w:szCs w:val="28"/>
        </w:rPr>
        <w:t xml:space="preserve">в </w:t>
      </w:r>
      <w:r w:rsidRPr="007C50D0">
        <w:rPr>
          <w:bCs/>
          <w:color w:val="000000"/>
          <w:sz w:val="28"/>
          <w:szCs w:val="28"/>
        </w:rPr>
        <w:t xml:space="preserve">сравнении с предыдущим периодом. </w:t>
      </w:r>
    </w:p>
    <w:p w:rsidR="007C50D0" w:rsidRPr="007C50D0" w:rsidRDefault="007C50D0" w:rsidP="008619A6">
      <w:pPr>
        <w:ind w:firstLine="900"/>
        <w:contextualSpacing/>
        <w:jc w:val="both"/>
        <w:rPr>
          <w:sz w:val="28"/>
          <w:szCs w:val="28"/>
          <w:u w:val="single"/>
        </w:rPr>
      </w:pPr>
      <w:r w:rsidRPr="007C50D0">
        <w:rPr>
          <w:sz w:val="28"/>
          <w:szCs w:val="28"/>
          <w:u w:val="single"/>
        </w:rPr>
        <w:t>Нарушение процессуальных сроков</w:t>
      </w:r>
    </w:p>
    <w:p w:rsidR="007C50D0" w:rsidRPr="007C50D0" w:rsidRDefault="007C50D0" w:rsidP="008619A6">
      <w:pPr>
        <w:ind w:firstLine="900"/>
        <w:contextualSpacing/>
        <w:jc w:val="both"/>
        <w:rPr>
          <w:sz w:val="28"/>
          <w:szCs w:val="28"/>
        </w:rPr>
      </w:pPr>
      <w:r w:rsidRPr="007C50D0">
        <w:rPr>
          <w:sz w:val="28"/>
          <w:szCs w:val="28"/>
        </w:rPr>
        <w:t>Количество дел, рассмотренных мировыми судьями с нарушением процессуальных сроков, остается незначительным: их доля в общем количестве рассмотренных дел всех категорий составляет в среднем 0,2%.</w:t>
      </w:r>
    </w:p>
    <w:p w:rsidR="007C50D0" w:rsidRPr="007C50D0" w:rsidRDefault="007C50D0" w:rsidP="008619A6">
      <w:pPr>
        <w:ind w:firstLine="900"/>
        <w:contextualSpacing/>
        <w:jc w:val="both"/>
        <w:rPr>
          <w:sz w:val="24"/>
          <w:szCs w:val="24"/>
        </w:rPr>
      </w:pPr>
      <w:r w:rsidRPr="007C50D0">
        <w:rPr>
          <w:sz w:val="28"/>
          <w:szCs w:val="28"/>
        </w:rPr>
        <w:t xml:space="preserve">                                                                                                     </w:t>
      </w:r>
      <w:r w:rsidRPr="007C50D0">
        <w:rPr>
          <w:sz w:val="24"/>
          <w:szCs w:val="24"/>
        </w:rPr>
        <w:t xml:space="preserve">Таблица </w:t>
      </w:r>
      <w:r w:rsidR="00F8243A">
        <w:rPr>
          <w:sz w:val="24"/>
          <w:szCs w:val="24"/>
        </w:rPr>
        <w:t>36</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1E0" w:firstRow="1" w:lastRow="1" w:firstColumn="1" w:lastColumn="1" w:noHBand="0" w:noVBand="0"/>
      </w:tblPr>
      <w:tblGrid>
        <w:gridCol w:w="3686"/>
        <w:gridCol w:w="1134"/>
        <w:gridCol w:w="1276"/>
        <w:gridCol w:w="1134"/>
        <w:gridCol w:w="992"/>
        <w:gridCol w:w="1134"/>
      </w:tblGrid>
      <w:tr w:rsidR="007C50D0" w:rsidRPr="007C50D0" w:rsidTr="00C97FDD">
        <w:trPr>
          <w:trHeight w:val="152"/>
        </w:trPr>
        <w:tc>
          <w:tcPr>
            <w:tcW w:w="9356" w:type="dxa"/>
            <w:gridSpan w:val="6"/>
            <w:tcBorders>
              <w:top w:val="double" w:sz="4" w:space="0" w:color="auto"/>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Уровни нарушения процессуальных сроков (</w:t>
            </w:r>
            <w:proofErr w:type="gramStart"/>
            <w:r w:rsidRPr="007C50D0">
              <w:rPr>
                <w:b/>
                <w:sz w:val="24"/>
                <w:szCs w:val="24"/>
              </w:rPr>
              <w:t>в</w:t>
            </w:r>
            <w:proofErr w:type="gramEnd"/>
            <w:r w:rsidRPr="007C50D0">
              <w:rPr>
                <w:b/>
                <w:sz w:val="24"/>
                <w:szCs w:val="24"/>
              </w:rPr>
              <w:t xml:space="preserve"> %) за 12 месяцев</w:t>
            </w:r>
          </w:p>
        </w:tc>
      </w:tr>
      <w:tr w:rsidR="007C50D0" w:rsidRPr="007C50D0" w:rsidTr="00C97FDD">
        <w:trPr>
          <w:trHeight w:val="62"/>
        </w:trPr>
        <w:tc>
          <w:tcPr>
            <w:tcW w:w="3686" w:type="dxa"/>
            <w:tcBorders>
              <w:top w:val="single" w:sz="4" w:space="0" w:color="auto"/>
              <w:bottom w:val="thickThinLargeGap" w:sz="24" w:space="0" w:color="auto"/>
            </w:tcBorders>
            <w:shd w:val="clear" w:color="auto" w:fill="FFFFFF"/>
            <w:vAlign w:val="center"/>
          </w:tcPr>
          <w:p w:rsidR="007C50D0" w:rsidRPr="007C50D0" w:rsidRDefault="007C50D0" w:rsidP="008619A6">
            <w:pPr>
              <w:contextualSpacing/>
              <w:jc w:val="center"/>
              <w:rPr>
                <w:b/>
                <w:sz w:val="24"/>
                <w:szCs w:val="24"/>
              </w:rPr>
            </w:pPr>
          </w:p>
        </w:tc>
        <w:tc>
          <w:tcPr>
            <w:tcW w:w="1134" w:type="dxa"/>
            <w:tcBorders>
              <w:top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2013</w:t>
            </w:r>
          </w:p>
        </w:tc>
        <w:tc>
          <w:tcPr>
            <w:tcW w:w="1276"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2014</w:t>
            </w:r>
          </w:p>
        </w:tc>
        <w:tc>
          <w:tcPr>
            <w:tcW w:w="1134"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2015</w:t>
            </w:r>
          </w:p>
        </w:tc>
        <w:tc>
          <w:tcPr>
            <w:tcW w:w="992"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2016</w:t>
            </w:r>
          </w:p>
        </w:tc>
        <w:tc>
          <w:tcPr>
            <w:tcW w:w="1134" w:type="dxa"/>
            <w:tcBorders>
              <w:top w:val="single" w:sz="4" w:space="0" w:color="auto"/>
              <w:left w:val="single" w:sz="4" w:space="0" w:color="auto"/>
              <w:bottom w:val="thickThinLargeGap" w:sz="2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C97FDD">
        <w:trPr>
          <w:trHeight w:val="184"/>
        </w:trPr>
        <w:tc>
          <w:tcPr>
            <w:tcW w:w="3686" w:type="dxa"/>
            <w:tcBorders>
              <w:top w:val="thickThinLargeGap" w:sz="24" w:space="0" w:color="auto"/>
              <w:bottom w:val="dotted"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Уголовные дела</w:t>
            </w:r>
          </w:p>
        </w:tc>
        <w:tc>
          <w:tcPr>
            <w:tcW w:w="1134" w:type="dxa"/>
            <w:tcBorders>
              <w:top w:val="thickThinLargeGap" w:sz="2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19</w:t>
            </w:r>
          </w:p>
        </w:tc>
        <w:tc>
          <w:tcPr>
            <w:tcW w:w="1276" w:type="dxa"/>
            <w:tcBorders>
              <w:top w:val="thickThinLargeGap" w:sz="2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82</w:t>
            </w:r>
          </w:p>
        </w:tc>
        <w:tc>
          <w:tcPr>
            <w:tcW w:w="1134" w:type="dxa"/>
            <w:tcBorders>
              <w:top w:val="thickThinLargeGap" w:sz="2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73</w:t>
            </w:r>
          </w:p>
        </w:tc>
        <w:tc>
          <w:tcPr>
            <w:tcW w:w="992" w:type="dxa"/>
            <w:tcBorders>
              <w:top w:val="thickThinLargeGap" w:sz="2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88</w:t>
            </w:r>
          </w:p>
        </w:tc>
        <w:tc>
          <w:tcPr>
            <w:tcW w:w="1134" w:type="dxa"/>
            <w:tcBorders>
              <w:top w:val="thickThinLargeGap" w:sz="24" w:space="0" w:color="auto"/>
              <w:left w:val="single" w:sz="4" w:space="0" w:color="auto"/>
              <w:bottom w:val="dotted"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35</w:t>
            </w:r>
          </w:p>
        </w:tc>
      </w:tr>
      <w:tr w:rsidR="007C50D0" w:rsidRPr="007C50D0" w:rsidTr="00C97FDD">
        <w:trPr>
          <w:trHeight w:val="62"/>
        </w:trPr>
        <w:tc>
          <w:tcPr>
            <w:tcW w:w="3686" w:type="dxa"/>
            <w:tcBorders>
              <w:top w:val="dotted" w:sz="4" w:space="0" w:color="auto"/>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w:t>
            </w:r>
          </w:p>
        </w:tc>
        <w:tc>
          <w:tcPr>
            <w:tcW w:w="1134" w:type="dxa"/>
            <w:tcBorders>
              <w:top w:val="dotted"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0,2</w:t>
            </w:r>
          </w:p>
        </w:tc>
        <w:tc>
          <w:tcPr>
            <w:tcW w:w="1276"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1,0</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0,8</w:t>
            </w:r>
          </w:p>
        </w:tc>
        <w:tc>
          <w:tcPr>
            <w:tcW w:w="992"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0,9</w:t>
            </w:r>
          </w:p>
        </w:tc>
        <w:tc>
          <w:tcPr>
            <w:tcW w:w="1134" w:type="dxa"/>
            <w:tcBorders>
              <w:top w:val="dotted" w:sz="4" w:space="0" w:color="auto"/>
              <w:left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0,4</w:t>
            </w:r>
          </w:p>
        </w:tc>
      </w:tr>
      <w:tr w:rsidR="007C50D0" w:rsidRPr="007C50D0" w:rsidTr="00C97FDD">
        <w:trPr>
          <w:trHeight w:val="62"/>
        </w:trPr>
        <w:tc>
          <w:tcPr>
            <w:tcW w:w="3686" w:type="dxa"/>
            <w:tcBorders>
              <w:top w:val="single" w:sz="4" w:space="0" w:color="auto"/>
              <w:bottom w:val="dotted"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Гражданские дела</w:t>
            </w:r>
          </w:p>
        </w:tc>
        <w:tc>
          <w:tcPr>
            <w:tcW w:w="1134"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369</w:t>
            </w:r>
          </w:p>
        </w:tc>
        <w:tc>
          <w:tcPr>
            <w:tcW w:w="1276"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446</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582</w:t>
            </w:r>
          </w:p>
        </w:tc>
        <w:tc>
          <w:tcPr>
            <w:tcW w:w="99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381</w:t>
            </w:r>
          </w:p>
        </w:tc>
        <w:tc>
          <w:tcPr>
            <w:tcW w:w="1134"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288</w:t>
            </w:r>
          </w:p>
        </w:tc>
      </w:tr>
      <w:tr w:rsidR="007C50D0" w:rsidRPr="007C50D0" w:rsidTr="00C97FDD">
        <w:trPr>
          <w:trHeight w:val="62"/>
        </w:trPr>
        <w:tc>
          <w:tcPr>
            <w:tcW w:w="3686" w:type="dxa"/>
            <w:tcBorders>
              <w:top w:val="dotted" w:sz="4" w:space="0" w:color="auto"/>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w:t>
            </w:r>
          </w:p>
        </w:tc>
        <w:tc>
          <w:tcPr>
            <w:tcW w:w="1134" w:type="dxa"/>
            <w:tcBorders>
              <w:top w:val="dotted"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0,1</w:t>
            </w:r>
          </w:p>
        </w:tc>
        <w:tc>
          <w:tcPr>
            <w:tcW w:w="1276"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0,2</w:t>
            </w:r>
          </w:p>
        </w:tc>
        <w:tc>
          <w:tcPr>
            <w:tcW w:w="992"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0,2</w:t>
            </w:r>
          </w:p>
        </w:tc>
        <w:tc>
          <w:tcPr>
            <w:tcW w:w="1134" w:type="dxa"/>
            <w:tcBorders>
              <w:top w:val="dotted" w:sz="4" w:space="0" w:color="auto"/>
              <w:left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0,1</w:t>
            </w:r>
          </w:p>
        </w:tc>
      </w:tr>
      <w:tr w:rsidR="007C50D0" w:rsidRPr="007C50D0" w:rsidTr="00C97FDD">
        <w:trPr>
          <w:trHeight w:val="62"/>
        </w:trPr>
        <w:tc>
          <w:tcPr>
            <w:tcW w:w="3686" w:type="dxa"/>
            <w:tcBorders>
              <w:top w:val="single" w:sz="4" w:space="0" w:color="auto"/>
              <w:bottom w:val="dotted"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Административные  дела</w:t>
            </w:r>
          </w:p>
        </w:tc>
        <w:tc>
          <w:tcPr>
            <w:tcW w:w="1134"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p>
        </w:tc>
        <w:tc>
          <w:tcPr>
            <w:tcW w:w="1276"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p>
        </w:tc>
        <w:tc>
          <w:tcPr>
            <w:tcW w:w="99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w:t>
            </w:r>
          </w:p>
        </w:tc>
        <w:tc>
          <w:tcPr>
            <w:tcW w:w="1134"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4</w:t>
            </w:r>
          </w:p>
        </w:tc>
      </w:tr>
      <w:tr w:rsidR="007C50D0" w:rsidRPr="007C50D0" w:rsidTr="00C97FDD">
        <w:trPr>
          <w:trHeight w:val="62"/>
        </w:trPr>
        <w:tc>
          <w:tcPr>
            <w:tcW w:w="3686" w:type="dxa"/>
            <w:tcBorders>
              <w:top w:val="dotted" w:sz="4" w:space="0" w:color="auto"/>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w:t>
            </w:r>
          </w:p>
        </w:tc>
        <w:tc>
          <w:tcPr>
            <w:tcW w:w="1134" w:type="dxa"/>
            <w:tcBorders>
              <w:top w:val="dotted"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p>
        </w:tc>
        <w:tc>
          <w:tcPr>
            <w:tcW w:w="1276"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p>
        </w:tc>
        <w:tc>
          <w:tcPr>
            <w:tcW w:w="992"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0,0</w:t>
            </w:r>
          </w:p>
        </w:tc>
        <w:tc>
          <w:tcPr>
            <w:tcW w:w="1134" w:type="dxa"/>
            <w:tcBorders>
              <w:top w:val="dotted" w:sz="4" w:space="0" w:color="auto"/>
              <w:left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0,0</w:t>
            </w:r>
          </w:p>
        </w:tc>
      </w:tr>
      <w:tr w:rsidR="007C50D0" w:rsidRPr="007C50D0" w:rsidTr="00C97FDD">
        <w:trPr>
          <w:trHeight w:val="62"/>
        </w:trPr>
        <w:tc>
          <w:tcPr>
            <w:tcW w:w="3686" w:type="dxa"/>
            <w:tcBorders>
              <w:top w:val="single" w:sz="4" w:space="0" w:color="auto"/>
              <w:bottom w:val="dotted"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Производство об АП</w:t>
            </w:r>
          </w:p>
        </w:tc>
        <w:tc>
          <w:tcPr>
            <w:tcW w:w="1134"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151</w:t>
            </w:r>
          </w:p>
        </w:tc>
        <w:tc>
          <w:tcPr>
            <w:tcW w:w="1276"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274</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317</w:t>
            </w:r>
          </w:p>
        </w:tc>
        <w:tc>
          <w:tcPr>
            <w:tcW w:w="99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521</w:t>
            </w:r>
          </w:p>
        </w:tc>
        <w:tc>
          <w:tcPr>
            <w:tcW w:w="1134"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222</w:t>
            </w:r>
          </w:p>
        </w:tc>
      </w:tr>
      <w:tr w:rsidR="007C50D0" w:rsidRPr="007C50D0" w:rsidTr="00C97FDD">
        <w:trPr>
          <w:trHeight w:val="141"/>
        </w:trPr>
        <w:tc>
          <w:tcPr>
            <w:tcW w:w="3686" w:type="dxa"/>
            <w:tcBorders>
              <w:top w:val="dotted" w:sz="4" w:space="0" w:color="auto"/>
              <w:bottom w:val="doub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w:t>
            </w:r>
          </w:p>
        </w:tc>
        <w:tc>
          <w:tcPr>
            <w:tcW w:w="1134" w:type="dxa"/>
            <w:tcBorders>
              <w:top w:val="dotted"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0,1</w:t>
            </w:r>
          </w:p>
        </w:tc>
        <w:tc>
          <w:tcPr>
            <w:tcW w:w="1276" w:type="dxa"/>
            <w:tcBorders>
              <w:top w:val="dotted"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0,2</w:t>
            </w:r>
          </w:p>
        </w:tc>
        <w:tc>
          <w:tcPr>
            <w:tcW w:w="1134" w:type="dxa"/>
            <w:tcBorders>
              <w:top w:val="dotted"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0,2</w:t>
            </w:r>
          </w:p>
        </w:tc>
        <w:tc>
          <w:tcPr>
            <w:tcW w:w="992" w:type="dxa"/>
            <w:tcBorders>
              <w:top w:val="dotted"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0,3</w:t>
            </w:r>
          </w:p>
        </w:tc>
        <w:tc>
          <w:tcPr>
            <w:tcW w:w="1134" w:type="dxa"/>
            <w:tcBorders>
              <w:top w:val="dotted" w:sz="4" w:space="0" w:color="auto"/>
              <w:left w:val="single" w:sz="4" w:space="0" w:color="auto"/>
              <w:bottom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0,1</w:t>
            </w:r>
          </w:p>
        </w:tc>
      </w:tr>
    </w:tbl>
    <w:p w:rsidR="007C50D0" w:rsidRPr="007C50D0" w:rsidRDefault="007C50D0" w:rsidP="008619A6">
      <w:pPr>
        <w:ind w:firstLine="900"/>
        <w:contextualSpacing/>
        <w:jc w:val="both"/>
        <w:rPr>
          <w:sz w:val="28"/>
          <w:szCs w:val="28"/>
          <w:u w:val="single"/>
        </w:rPr>
      </w:pPr>
      <w:r w:rsidRPr="007C50D0">
        <w:rPr>
          <w:sz w:val="28"/>
          <w:szCs w:val="28"/>
          <w:u w:val="single"/>
        </w:rPr>
        <w:t>Утверждаемость приговоров и решений, качество работы</w:t>
      </w:r>
    </w:p>
    <w:p w:rsidR="007C50D0" w:rsidRPr="007C50D0" w:rsidRDefault="007C50D0" w:rsidP="008619A6">
      <w:pPr>
        <w:ind w:firstLine="900"/>
        <w:contextualSpacing/>
        <w:jc w:val="both"/>
        <w:rPr>
          <w:sz w:val="28"/>
          <w:szCs w:val="28"/>
        </w:rPr>
      </w:pPr>
      <w:r w:rsidRPr="007C50D0">
        <w:rPr>
          <w:sz w:val="28"/>
          <w:szCs w:val="28"/>
        </w:rPr>
        <w:t xml:space="preserve">Данные, представленные в Таблице </w:t>
      </w:r>
      <w:r w:rsidR="00C97FDD">
        <w:rPr>
          <w:sz w:val="28"/>
          <w:szCs w:val="28"/>
        </w:rPr>
        <w:t>37</w:t>
      </w:r>
      <w:r w:rsidRPr="007C50D0">
        <w:rPr>
          <w:sz w:val="28"/>
          <w:szCs w:val="28"/>
        </w:rPr>
        <w:t xml:space="preserve">, показывают динамику изменения показателя судебной деятельности «Утверждаемость приговоров и решений» в период с 2013 по 2017 год. По сравнению с 2015 годом при рассмотрении уголовных и гражданских дел этот показатель повысился на 7,6% и 6,3% соответственно. </w:t>
      </w:r>
    </w:p>
    <w:p w:rsidR="007C50D0" w:rsidRPr="007C50D0" w:rsidRDefault="007C50D0" w:rsidP="008619A6">
      <w:pPr>
        <w:contextualSpacing/>
        <w:jc w:val="both"/>
        <w:rPr>
          <w:sz w:val="28"/>
          <w:szCs w:val="28"/>
        </w:rPr>
      </w:pPr>
      <w:r w:rsidRPr="007C50D0">
        <w:rPr>
          <w:sz w:val="24"/>
          <w:szCs w:val="24"/>
        </w:rPr>
        <w:t xml:space="preserve">                                                                                                                                     Таблица </w:t>
      </w:r>
      <w:r w:rsidR="00F8243A">
        <w:rPr>
          <w:sz w:val="24"/>
          <w:szCs w:val="24"/>
        </w:rPr>
        <w:t>37</w:t>
      </w:r>
    </w:p>
    <w:tbl>
      <w:tblPr>
        <w:tblpPr w:leftFromText="180" w:rightFromText="180" w:vertAnchor="text" w:horzAnchor="margin" w:tblpXSpec="center" w:tblpY="186"/>
        <w:tblW w:w="9322"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1E0" w:firstRow="1" w:lastRow="1" w:firstColumn="1" w:lastColumn="1" w:noHBand="0" w:noVBand="0"/>
      </w:tblPr>
      <w:tblGrid>
        <w:gridCol w:w="2518"/>
        <w:gridCol w:w="1418"/>
        <w:gridCol w:w="1134"/>
        <w:gridCol w:w="1440"/>
        <w:gridCol w:w="1578"/>
        <w:gridCol w:w="1234"/>
      </w:tblGrid>
      <w:tr w:rsidR="007C50D0" w:rsidRPr="007C50D0" w:rsidTr="00C97FDD">
        <w:trPr>
          <w:trHeight w:val="541"/>
        </w:trPr>
        <w:tc>
          <w:tcPr>
            <w:tcW w:w="9322" w:type="dxa"/>
            <w:gridSpan w:val="6"/>
            <w:tcBorders>
              <w:top w:val="double" w:sz="4" w:space="0" w:color="auto"/>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Утверждаемость приговоров и решений мировых судей</w:t>
            </w:r>
          </w:p>
          <w:p w:rsidR="007C50D0" w:rsidRPr="007C50D0" w:rsidRDefault="007C50D0" w:rsidP="008619A6">
            <w:pPr>
              <w:contextualSpacing/>
              <w:jc w:val="center"/>
              <w:rPr>
                <w:b/>
                <w:sz w:val="24"/>
                <w:szCs w:val="24"/>
              </w:rPr>
            </w:pPr>
            <w:r w:rsidRPr="007C50D0">
              <w:rPr>
                <w:b/>
                <w:sz w:val="24"/>
                <w:szCs w:val="24"/>
              </w:rPr>
              <w:t>в процентах к обжалованным делам</w:t>
            </w:r>
          </w:p>
        </w:tc>
      </w:tr>
      <w:tr w:rsidR="007C50D0" w:rsidRPr="007C50D0" w:rsidTr="00C97FDD">
        <w:tc>
          <w:tcPr>
            <w:tcW w:w="2518" w:type="dxa"/>
            <w:tcBorders>
              <w:top w:val="single" w:sz="4" w:space="0" w:color="auto"/>
              <w:bottom w:val="thickThinLargeGap" w:sz="24" w:space="0" w:color="auto"/>
            </w:tcBorders>
            <w:shd w:val="clear" w:color="auto" w:fill="FFFFFF"/>
          </w:tcPr>
          <w:p w:rsidR="007C50D0" w:rsidRPr="007C50D0" w:rsidRDefault="007C50D0" w:rsidP="008619A6">
            <w:pPr>
              <w:contextualSpacing/>
              <w:jc w:val="center"/>
              <w:rPr>
                <w:sz w:val="24"/>
                <w:szCs w:val="24"/>
              </w:rPr>
            </w:pPr>
            <w:r w:rsidRPr="007C50D0">
              <w:rPr>
                <w:sz w:val="24"/>
                <w:szCs w:val="24"/>
              </w:rPr>
              <w:t>Судопроизводство</w:t>
            </w:r>
          </w:p>
        </w:tc>
        <w:tc>
          <w:tcPr>
            <w:tcW w:w="1418" w:type="dxa"/>
            <w:tcBorders>
              <w:top w:val="single" w:sz="4" w:space="0" w:color="auto"/>
              <w:bottom w:val="thickThinLargeGap" w:sz="24" w:space="0" w:color="auto"/>
              <w:right w:val="single" w:sz="4" w:space="0" w:color="auto"/>
            </w:tcBorders>
            <w:shd w:val="clear" w:color="auto" w:fill="FFFFFF"/>
          </w:tcPr>
          <w:p w:rsidR="007C50D0" w:rsidRPr="007C50D0" w:rsidRDefault="007C50D0" w:rsidP="008619A6">
            <w:pPr>
              <w:contextualSpacing/>
              <w:jc w:val="center"/>
              <w:rPr>
                <w:b/>
                <w:sz w:val="24"/>
                <w:szCs w:val="24"/>
              </w:rPr>
            </w:pPr>
            <w:r w:rsidRPr="007C50D0">
              <w:rPr>
                <w:b/>
                <w:sz w:val="24"/>
                <w:szCs w:val="24"/>
              </w:rPr>
              <w:t>2013</w:t>
            </w:r>
          </w:p>
        </w:tc>
        <w:tc>
          <w:tcPr>
            <w:tcW w:w="1134" w:type="dxa"/>
            <w:tcBorders>
              <w:top w:val="single" w:sz="4" w:space="0" w:color="auto"/>
              <w:left w:val="single" w:sz="4" w:space="0" w:color="auto"/>
              <w:bottom w:val="thickThinLargeGap" w:sz="24" w:space="0" w:color="auto"/>
              <w:right w:val="single" w:sz="4" w:space="0" w:color="auto"/>
            </w:tcBorders>
            <w:shd w:val="clear" w:color="auto" w:fill="FFFFFF"/>
          </w:tcPr>
          <w:p w:rsidR="007C50D0" w:rsidRPr="007C50D0" w:rsidRDefault="007C50D0" w:rsidP="008619A6">
            <w:pPr>
              <w:contextualSpacing/>
              <w:jc w:val="center"/>
              <w:rPr>
                <w:b/>
                <w:sz w:val="24"/>
                <w:szCs w:val="24"/>
              </w:rPr>
            </w:pPr>
            <w:r w:rsidRPr="007C50D0">
              <w:rPr>
                <w:b/>
                <w:sz w:val="24"/>
                <w:szCs w:val="24"/>
              </w:rPr>
              <w:t>2014</w:t>
            </w:r>
          </w:p>
        </w:tc>
        <w:tc>
          <w:tcPr>
            <w:tcW w:w="1440" w:type="dxa"/>
            <w:tcBorders>
              <w:top w:val="single" w:sz="4" w:space="0" w:color="auto"/>
              <w:left w:val="single" w:sz="4" w:space="0" w:color="auto"/>
              <w:bottom w:val="thickThinLargeGap" w:sz="24" w:space="0" w:color="auto"/>
              <w:right w:val="single" w:sz="4" w:space="0" w:color="auto"/>
            </w:tcBorders>
            <w:shd w:val="clear" w:color="auto" w:fill="FFFFFF"/>
          </w:tcPr>
          <w:p w:rsidR="007C50D0" w:rsidRPr="007C50D0" w:rsidRDefault="007C50D0" w:rsidP="008619A6">
            <w:pPr>
              <w:contextualSpacing/>
              <w:jc w:val="center"/>
              <w:rPr>
                <w:b/>
                <w:sz w:val="24"/>
                <w:szCs w:val="24"/>
              </w:rPr>
            </w:pPr>
            <w:r w:rsidRPr="007C50D0">
              <w:rPr>
                <w:b/>
                <w:sz w:val="24"/>
                <w:szCs w:val="24"/>
              </w:rPr>
              <w:t>2015</w:t>
            </w:r>
          </w:p>
        </w:tc>
        <w:tc>
          <w:tcPr>
            <w:tcW w:w="1578" w:type="dxa"/>
            <w:tcBorders>
              <w:top w:val="single" w:sz="4" w:space="0" w:color="auto"/>
              <w:left w:val="single" w:sz="4" w:space="0" w:color="auto"/>
              <w:bottom w:val="thickThinLargeGap" w:sz="24" w:space="0" w:color="auto"/>
              <w:right w:val="single" w:sz="4" w:space="0" w:color="auto"/>
            </w:tcBorders>
            <w:shd w:val="clear" w:color="auto" w:fill="FFFFFF"/>
          </w:tcPr>
          <w:p w:rsidR="007C50D0" w:rsidRPr="007C50D0" w:rsidRDefault="007C50D0" w:rsidP="008619A6">
            <w:pPr>
              <w:contextualSpacing/>
              <w:jc w:val="center"/>
              <w:rPr>
                <w:b/>
                <w:sz w:val="24"/>
                <w:szCs w:val="24"/>
              </w:rPr>
            </w:pPr>
            <w:r w:rsidRPr="007C50D0">
              <w:rPr>
                <w:b/>
                <w:sz w:val="24"/>
                <w:szCs w:val="24"/>
              </w:rPr>
              <w:t>2016</w:t>
            </w:r>
          </w:p>
        </w:tc>
        <w:tc>
          <w:tcPr>
            <w:tcW w:w="1234" w:type="dxa"/>
            <w:tcBorders>
              <w:top w:val="single" w:sz="4" w:space="0" w:color="auto"/>
              <w:left w:val="single" w:sz="4" w:space="0" w:color="auto"/>
              <w:bottom w:val="thickThinLargeGap" w:sz="24" w:space="0" w:color="auto"/>
            </w:tcBorders>
            <w:shd w:val="clear" w:color="auto" w:fill="FFFFFF"/>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C97FDD">
        <w:trPr>
          <w:trHeight w:val="147"/>
        </w:trPr>
        <w:tc>
          <w:tcPr>
            <w:tcW w:w="2518" w:type="dxa"/>
            <w:tcBorders>
              <w:top w:val="thickThinLargeGap" w:sz="24" w:space="0" w:color="auto"/>
            </w:tcBorders>
            <w:shd w:val="clear" w:color="auto" w:fill="FFFFFF"/>
          </w:tcPr>
          <w:p w:rsidR="007C50D0" w:rsidRPr="007C50D0" w:rsidRDefault="007C50D0" w:rsidP="008619A6">
            <w:pPr>
              <w:contextualSpacing/>
              <w:jc w:val="center"/>
              <w:rPr>
                <w:b/>
                <w:sz w:val="24"/>
                <w:szCs w:val="24"/>
              </w:rPr>
            </w:pPr>
            <w:r w:rsidRPr="007C50D0">
              <w:rPr>
                <w:b/>
                <w:sz w:val="24"/>
                <w:szCs w:val="24"/>
              </w:rPr>
              <w:t>Уголовное</w:t>
            </w:r>
          </w:p>
        </w:tc>
        <w:tc>
          <w:tcPr>
            <w:tcW w:w="1418" w:type="dxa"/>
            <w:tcBorders>
              <w:top w:val="thickThinLargeGap" w:sz="24" w:space="0" w:color="auto"/>
              <w:right w:val="single" w:sz="4" w:space="0" w:color="auto"/>
            </w:tcBorders>
            <w:shd w:val="clear" w:color="auto" w:fill="FFFFFF"/>
          </w:tcPr>
          <w:p w:rsidR="007C50D0" w:rsidRPr="007C50D0" w:rsidRDefault="007C50D0" w:rsidP="008619A6">
            <w:pPr>
              <w:contextualSpacing/>
              <w:jc w:val="center"/>
              <w:rPr>
                <w:i/>
                <w:sz w:val="24"/>
                <w:szCs w:val="24"/>
                <w:lang w:val="en-US"/>
              </w:rPr>
            </w:pPr>
            <w:r w:rsidRPr="007C50D0">
              <w:rPr>
                <w:i/>
                <w:sz w:val="24"/>
                <w:szCs w:val="24"/>
              </w:rPr>
              <w:t>70,1</w:t>
            </w:r>
          </w:p>
        </w:tc>
        <w:tc>
          <w:tcPr>
            <w:tcW w:w="1134" w:type="dxa"/>
            <w:tcBorders>
              <w:top w:val="thickThinLargeGap" w:sz="24" w:space="0" w:color="auto"/>
              <w:left w:val="single" w:sz="4" w:space="0" w:color="auto"/>
              <w:right w:val="single" w:sz="4" w:space="0" w:color="auto"/>
            </w:tcBorders>
            <w:shd w:val="clear" w:color="auto" w:fill="FFFFFF"/>
          </w:tcPr>
          <w:p w:rsidR="007C50D0" w:rsidRPr="007C50D0" w:rsidRDefault="007C50D0" w:rsidP="008619A6">
            <w:pPr>
              <w:contextualSpacing/>
              <w:jc w:val="center"/>
              <w:rPr>
                <w:i/>
                <w:sz w:val="24"/>
                <w:szCs w:val="24"/>
                <w:lang w:val="en-US"/>
              </w:rPr>
            </w:pPr>
            <w:r w:rsidRPr="007C50D0">
              <w:rPr>
                <w:i/>
                <w:sz w:val="24"/>
                <w:szCs w:val="24"/>
              </w:rPr>
              <w:t>65,8</w:t>
            </w:r>
          </w:p>
        </w:tc>
        <w:tc>
          <w:tcPr>
            <w:tcW w:w="1440" w:type="dxa"/>
            <w:tcBorders>
              <w:top w:val="thickThinLargeGap" w:sz="24" w:space="0" w:color="auto"/>
              <w:left w:val="single" w:sz="4" w:space="0" w:color="auto"/>
              <w:right w:val="single" w:sz="4" w:space="0" w:color="auto"/>
            </w:tcBorders>
            <w:shd w:val="clear" w:color="auto" w:fill="FFFFFF"/>
          </w:tcPr>
          <w:p w:rsidR="007C50D0" w:rsidRPr="007C50D0" w:rsidRDefault="007C50D0" w:rsidP="008619A6">
            <w:pPr>
              <w:contextualSpacing/>
              <w:jc w:val="center"/>
              <w:rPr>
                <w:i/>
                <w:sz w:val="24"/>
                <w:szCs w:val="24"/>
                <w:lang w:val="en-US"/>
              </w:rPr>
            </w:pPr>
            <w:r w:rsidRPr="007C50D0">
              <w:rPr>
                <w:i/>
                <w:sz w:val="24"/>
                <w:szCs w:val="24"/>
              </w:rPr>
              <w:t>65,3</w:t>
            </w:r>
          </w:p>
        </w:tc>
        <w:tc>
          <w:tcPr>
            <w:tcW w:w="1578" w:type="dxa"/>
            <w:tcBorders>
              <w:top w:val="thickThinLargeGap" w:sz="24" w:space="0" w:color="auto"/>
              <w:left w:val="single" w:sz="4" w:space="0" w:color="auto"/>
              <w:right w:val="single" w:sz="4" w:space="0" w:color="auto"/>
            </w:tcBorders>
            <w:shd w:val="clear" w:color="auto" w:fill="FFFFFF"/>
          </w:tcPr>
          <w:p w:rsidR="007C50D0" w:rsidRPr="007C50D0" w:rsidRDefault="007C50D0" w:rsidP="008619A6">
            <w:pPr>
              <w:contextualSpacing/>
              <w:jc w:val="center"/>
              <w:rPr>
                <w:i/>
                <w:sz w:val="24"/>
                <w:szCs w:val="24"/>
                <w:lang w:val="en-US"/>
              </w:rPr>
            </w:pPr>
            <w:r w:rsidRPr="007C50D0">
              <w:rPr>
                <w:i/>
                <w:sz w:val="24"/>
                <w:szCs w:val="24"/>
              </w:rPr>
              <w:t>72,2</w:t>
            </w:r>
          </w:p>
        </w:tc>
        <w:tc>
          <w:tcPr>
            <w:tcW w:w="1234" w:type="dxa"/>
            <w:tcBorders>
              <w:top w:val="thickThinLargeGap" w:sz="24" w:space="0" w:color="auto"/>
              <w:left w:val="single" w:sz="4" w:space="0" w:color="auto"/>
            </w:tcBorders>
            <w:shd w:val="clear" w:color="auto" w:fill="FFFFFF"/>
          </w:tcPr>
          <w:p w:rsidR="007C50D0" w:rsidRPr="007C50D0" w:rsidRDefault="007C50D0" w:rsidP="008619A6">
            <w:pPr>
              <w:contextualSpacing/>
              <w:jc w:val="center"/>
              <w:rPr>
                <w:i/>
                <w:sz w:val="24"/>
                <w:szCs w:val="24"/>
                <w:lang w:val="en-US"/>
              </w:rPr>
            </w:pPr>
            <w:r w:rsidRPr="007C50D0">
              <w:rPr>
                <w:i/>
                <w:sz w:val="24"/>
                <w:szCs w:val="24"/>
              </w:rPr>
              <w:t>72,9</w:t>
            </w:r>
          </w:p>
        </w:tc>
      </w:tr>
      <w:tr w:rsidR="007C50D0" w:rsidRPr="007C50D0" w:rsidTr="00C97FDD">
        <w:trPr>
          <w:trHeight w:val="62"/>
        </w:trPr>
        <w:tc>
          <w:tcPr>
            <w:tcW w:w="2518" w:type="dxa"/>
            <w:shd w:val="clear" w:color="auto" w:fill="FFFFFF"/>
          </w:tcPr>
          <w:p w:rsidR="007C50D0" w:rsidRPr="007C50D0" w:rsidRDefault="007C50D0" w:rsidP="008619A6">
            <w:pPr>
              <w:contextualSpacing/>
              <w:jc w:val="center"/>
              <w:rPr>
                <w:b/>
                <w:sz w:val="24"/>
                <w:szCs w:val="24"/>
                <w:lang w:val="en-US"/>
              </w:rPr>
            </w:pPr>
            <w:r w:rsidRPr="007C50D0">
              <w:rPr>
                <w:b/>
                <w:sz w:val="24"/>
                <w:szCs w:val="24"/>
              </w:rPr>
              <w:t>Гражданское</w:t>
            </w:r>
          </w:p>
        </w:tc>
        <w:tc>
          <w:tcPr>
            <w:tcW w:w="1418" w:type="dxa"/>
            <w:tcBorders>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80,1</w:t>
            </w:r>
          </w:p>
        </w:tc>
        <w:tc>
          <w:tcPr>
            <w:tcW w:w="1134" w:type="dxa"/>
            <w:tcBorders>
              <w:left w:val="single" w:sz="4" w:space="0" w:color="auto"/>
              <w:bottom w:val="doub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82</w:t>
            </w:r>
          </w:p>
        </w:tc>
        <w:tc>
          <w:tcPr>
            <w:tcW w:w="1440" w:type="dxa"/>
            <w:tcBorders>
              <w:left w:val="single" w:sz="4" w:space="0" w:color="auto"/>
              <w:bottom w:val="doub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80,7</w:t>
            </w:r>
          </w:p>
        </w:tc>
        <w:tc>
          <w:tcPr>
            <w:tcW w:w="1578" w:type="dxa"/>
            <w:tcBorders>
              <w:left w:val="single" w:sz="4" w:space="0" w:color="auto"/>
              <w:bottom w:val="double" w:sz="4" w:space="0" w:color="auto"/>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83,2</w:t>
            </w:r>
          </w:p>
        </w:tc>
        <w:tc>
          <w:tcPr>
            <w:tcW w:w="1234" w:type="dxa"/>
            <w:tcBorders>
              <w:lef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87,0</w:t>
            </w:r>
          </w:p>
        </w:tc>
      </w:tr>
    </w:tbl>
    <w:p w:rsidR="00C97FDD" w:rsidRPr="007C50D0" w:rsidRDefault="00C97FDD" w:rsidP="00C97FDD">
      <w:pPr>
        <w:ind w:firstLine="900"/>
        <w:contextualSpacing/>
        <w:jc w:val="both"/>
        <w:rPr>
          <w:sz w:val="28"/>
          <w:szCs w:val="28"/>
        </w:rPr>
      </w:pPr>
      <w:r w:rsidRPr="007C50D0">
        <w:rPr>
          <w:sz w:val="28"/>
          <w:szCs w:val="28"/>
        </w:rPr>
        <w:lastRenderedPageBreak/>
        <w:t>Статистическое наблюдение в пределах пятилетнего интервала позволяет сделать вывод о постоянном повышении утверждаемости приговоров при рассмотрении уголовных дел.</w:t>
      </w:r>
    </w:p>
    <w:p w:rsidR="007C50D0" w:rsidRPr="007C50D0" w:rsidRDefault="007C50D0" w:rsidP="008619A6">
      <w:pPr>
        <w:ind w:firstLine="851"/>
        <w:contextualSpacing/>
        <w:jc w:val="both"/>
        <w:rPr>
          <w:sz w:val="28"/>
          <w:szCs w:val="28"/>
        </w:rPr>
      </w:pPr>
      <w:r w:rsidRPr="007C50D0">
        <w:rPr>
          <w:sz w:val="28"/>
          <w:szCs w:val="28"/>
        </w:rPr>
        <w:t xml:space="preserve">Значение данного показателя в гражданском производстве подвержено колебаниям. Выравнивание </w:t>
      </w:r>
      <w:r w:rsidR="00C97FDD" w:rsidRPr="007C50D0">
        <w:rPr>
          <w:sz w:val="28"/>
          <w:szCs w:val="28"/>
        </w:rPr>
        <w:t>динамического ряда</w:t>
      </w:r>
      <w:r w:rsidR="00C97FDD">
        <w:rPr>
          <w:sz w:val="28"/>
          <w:szCs w:val="28"/>
        </w:rPr>
        <w:t>,</w:t>
      </w:r>
      <w:r w:rsidR="00C97FDD" w:rsidRPr="007C50D0">
        <w:rPr>
          <w:sz w:val="28"/>
          <w:szCs w:val="28"/>
        </w:rPr>
        <w:t xml:space="preserve"> </w:t>
      </w:r>
      <w:r w:rsidRPr="007C50D0">
        <w:rPr>
          <w:sz w:val="28"/>
          <w:szCs w:val="28"/>
        </w:rPr>
        <w:t xml:space="preserve">представленного </w:t>
      </w:r>
      <w:r w:rsidR="00C97FDD">
        <w:rPr>
          <w:sz w:val="28"/>
          <w:szCs w:val="28"/>
        </w:rPr>
        <w:t>на</w:t>
      </w:r>
      <w:r w:rsidRPr="007C50D0">
        <w:rPr>
          <w:sz w:val="28"/>
          <w:szCs w:val="28"/>
        </w:rPr>
        <w:t xml:space="preserve"> Графике 16</w:t>
      </w:r>
      <w:r w:rsidR="00C97FDD">
        <w:rPr>
          <w:sz w:val="28"/>
          <w:szCs w:val="28"/>
        </w:rPr>
        <w:t>,</w:t>
      </w:r>
      <w:r w:rsidRPr="007C50D0">
        <w:rPr>
          <w:sz w:val="28"/>
          <w:szCs w:val="28"/>
        </w:rPr>
        <w:t xml:space="preserve"> способом скользящей средней позволяет сделать вывод о тенденции к увеличению этого показателя и в гражданском судопроизводстве.</w:t>
      </w:r>
    </w:p>
    <w:p w:rsidR="007C50D0" w:rsidRPr="007C50D0" w:rsidRDefault="007C50D0" w:rsidP="008619A6">
      <w:pPr>
        <w:ind w:firstLine="851"/>
        <w:contextualSpacing/>
        <w:jc w:val="both"/>
        <w:rPr>
          <w:sz w:val="24"/>
          <w:szCs w:val="24"/>
        </w:rPr>
      </w:pPr>
      <w:r w:rsidRPr="007C50D0">
        <w:rPr>
          <w:sz w:val="28"/>
          <w:szCs w:val="28"/>
        </w:rPr>
        <w:t xml:space="preserve">                                                                                               </w:t>
      </w:r>
      <w:r w:rsidRPr="007C50D0">
        <w:rPr>
          <w:sz w:val="24"/>
          <w:szCs w:val="24"/>
        </w:rPr>
        <w:t>График 1</w:t>
      </w:r>
      <w:r w:rsidR="00F8243A">
        <w:rPr>
          <w:sz w:val="24"/>
          <w:szCs w:val="24"/>
        </w:rPr>
        <w:t>5</w:t>
      </w:r>
    </w:p>
    <w:p w:rsidR="007C50D0" w:rsidRPr="007C50D0" w:rsidRDefault="007C50D0" w:rsidP="00C97FDD">
      <w:pPr>
        <w:ind w:firstLine="851"/>
        <w:contextualSpacing/>
        <w:jc w:val="both"/>
        <w:rPr>
          <w:noProof/>
        </w:rPr>
      </w:pPr>
      <w:r>
        <w:rPr>
          <w:noProof/>
        </w:rPr>
        <w:drawing>
          <wp:inline distT="0" distB="0" distL="0" distR="0" wp14:anchorId="0B2936D9" wp14:editId="4729CB5E">
            <wp:extent cx="4876800" cy="2553730"/>
            <wp:effectExtent l="0" t="0" r="19050" b="1841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C50D0" w:rsidRPr="007C50D0" w:rsidRDefault="007C50D0" w:rsidP="008619A6">
      <w:pPr>
        <w:ind w:firstLine="567"/>
        <w:contextualSpacing/>
        <w:jc w:val="both"/>
        <w:rPr>
          <w:bCs/>
          <w:color w:val="000000"/>
          <w:sz w:val="28"/>
          <w:szCs w:val="28"/>
        </w:rPr>
      </w:pPr>
      <w:r w:rsidRPr="007C50D0">
        <w:rPr>
          <w:sz w:val="28"/>
          <w:szCs w:val="28"/>
        </w:rPr>
        <w:t xml:space="preserve">Утверждаемость постановлений </w:t>
      </w:r>
      <w:r w:rsidRPr="007C50D0">
        <w:rPr>
          <w:bCs/>
          <w:color w:val="000000"/>
          <w:sz w:val="28"/>
          <w:szCs w:val="28"/>
        </w:rPr>
        <w:t xml:space="preserve">в 2017 году в производстве об административных правонарушениях составляет 87,4%. </w:t>
      </w:r>
    </w:p>
    <w:p w:rsidR="007C50D0" w:rsidRPr="007C50D0" w:rsidRDefault="007C50D0" w:rsidP="008619A6">
      <w:pPr>
        <w:ind w:firstLine="567"/>
        <w:contextualSpacing/>
        <w:jc w:val="both"/>
        <w:rPr>
          <w:sz w:val="28"/>
          <w:szCs w:val="28"/>
        </w:rPr>
      </w:pPr>
      <w:r w:rsidRPr="007C50D0">
        <w:rPr>
          <w:sz w:val="28"/>
          <w:szCs w:val="28"/>
        </w:rPr>
        <w:t>Работа мирового судьи может оцениваться и таким показателем как качество (стабильность), расчет которого основывается на определении доли не обжалованных и оставленных без изменения решений и приговоров в общем количестве дел, рассмотренных судом.</w:t>
      </w:r>
    </w:p>
    <w:tbl>
      <w:tblPr>
        <w:tblpPr w:leftFromText="180" w:rightFromText="180" w:vertAnchor="text" w:horzAnchor="page" w:tblpX="1915" w:tblpY="335"/>
        <w:tblW w:w="928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3482"/>
        <w:gridCol w:w="932"/>
        <w:gridCol w:w="1223"/>
        <w:gridCol w:w="1275"/>
        <w:gridCol w:w="1105"/>
        <w:gridCol w:w="1271"/>
      </w:tblGrid>
      <w:tr w:rsidR="007C50D0" w:rsidRPr="007C50D0" w:rsidTr="00165A71">
        <w:trPr>
          <w:trHeight w:val="251"/>
        </w:trPr>
        <w:tc>
          <w:tcPr>
            <w:tcW w:w="9288" w:type="dxa"/>
            <w:gridSpan w:val="6"/>
            <w:tcBorders>
              <w:top w:val="double" w:sz="4" w:space="0" w:color="auto"/>
              <w:bottom w:val="single" w:sz="4" w:space="0" w:color="auto"/>
            </w:tcBorders>
            <w:shd w:val="clear" w:color="auto" w:fill="auto"/>
            <w:vAlign w:val="center"/>
          </w:tcPr>
          <w:p w:rsidR="007C50D0" w:rsidRPr="007C50D0" w:rsidRDefault="007C50D0" w:rsidP="00165A71">
            <w:pPr>
              <w:contextualSpacing/>
              <w:jc w:val="center"/>
              <w:rPr>
                <w:b/>
                <w:sz w:val="24"/>
                <w:szCs w:val="24"/>
              </w:rPr>
            </w:pPr>
            <w:r w:rsidRPr="007C50D0">
              <w:rPr>
                <w:b/>
                <w:sz w:val="24"/>
                <w:szCs w:val="24"/>
              </w:rPr>
              <w:t>Качество (стабильность) работы мировых судей  РТ</w:t>
            </w:r>
          </w:p>
        </w:tc>
      </w:tr>
      <w:tr w:rsidR="007C50D0" w:rsidRPr="007C50D0" w:rsidTr="00165A71">
        <w:trPr>
          <w:trHeight w:val="106"/>
        </w:trPr>
        <w:tc>
          <w:tcPr>
            <w:tcW w:w="3482" w:type="dxa"/>
            <w:tcBorders>
              <w:top w:val="single" w:sz="4" w:space="0" w:color="auto"/>
              <w:bottom w:val="thickThinLargeGap" w:sz="24" w:space="0" w:color="auto"/>
            </w:tcBorders>
            <w:shd w:val="clear" w:color="auto" w:fill="auto"/>
            <w:vAlign w:val="center"/>
          </w:tcPr>
          <w:p w:rsidR="007C50D0" w:rsidRPr="007C50D0" w:rsidRDefault="007C50D0" w:rsidP="00165A71">
            <w:pPr>
              <w:contextualSpacing/>
              <w:jc w:val="center"/>
              <w:rPr>
                <w:b/>
                <w:sz w:val="24"/>
                <w:szCs w:val="24"/>
              </w:rPr>
            </w:pPr>
            <w:r w:rsidRPr="007C50D0">
              <w:rPr>
                <w:sz w:val="24"/>
                <w:szCs w:val="24"/>
              </w:rPr>
              <w:t>Судопроизводство</w:t>
            </w:r>
          </w:p>
        </w:tc>
        <w:tc>
          <w:tcPr>
            <w:tcW w:w="932" w:type="dxa"/>
            <w:tcBorders>
              <w:top w:val="single" w:sz="4" w:space="0" w:color="auto"/>
              <w:bottom w:val="thickThinLargeGap" w:sz="24" w:space="0" w:color="auto"/>
            </w:tcBorders>
            <w:shd w:val="clear" w:color="auto" w:fill="auto"/>
            <w:vAlign w:val="center"/>
          </w:tcPr>
          <w:p w:rsidR="007C50D0" w:rsidRPr="007C50D0" w:rsidRDefault="007C50D0" w:rsidP="00165A71">
            <w:pPr>
              <w:contextualSpacing/>
              <w:jc w:val="center"/>
              <w:rPr>
                <w:b/>
                <w:sz w:val="24"/>
                <w:szCs w:val="24"/>
              </w:rPr>
            </w:pPr>
            <w:r w:rsidRPr="007C50D0">
              <w:rPr>
                <w:b/>
                <w:sz w:val="24"/>
                <w:szCs w:val="24"/>
              </w:rPr>
              <w:t>2013</w:t>
            </w:r>
          </w:p>
        </w:tc>
        <w:tc>
          <w:tcPr>
            <w:tcW w:w="1223" w:type="dxa"/>
            <w:tcBorders>
              <w:top w:val="single" w:sz="4" w:space="0" w:color="auto"/>
              <w:bottom w:val="thickThinLargeGap" w:sz="24" w:space="0" w:color="auto"/>
            </w:tcBorders>
            <w:shd w:val="clear" w:color="auto" w:fill="auto"/>
            <w:vAlign w:val="center"/>
          </w:tcPr>
          <w:p w:rsidR="007C50D0" w:rsidRPr="007C50D0" w:rsidRDefault="007C50D0" w:rsidP="00165A71">
            <w:pPr>
              <w:contextualSpacing/>
              <w:jc w:val="center"/>
              <w:rPr>
                <w:b/>
                <w:sz w:val="24"/>
                <w:szCs w:val="24"/>
              </w:rPr>
            </w:pPr>
            <w:r w:rsidRPr="007C50D0">
              <w:rPr>
                <w:b/>
                <w:sz w:val="24"/>
                <w:szCs w:val="24"/>
              </w:rPr>
              <w:t>2014</w:t>
            </w:r>
          </w:p>
        </w:tc>
        <w:tc>
          <w:tcPr>
            <w:tcW w:w="1275" w:type="dxa"/>
            <w:tcBorders>
              <w:top w:val="single" w:sz="4" w:space="0" w:color="auto"/>
              <w:bottom w:val="thickThinLargeGap" w:sz="24" w:space="0" w:color="auto"/>
            </w:tcBorders>
            <w:shd w:val="clear" w:color="auto" w:fill="auto"/>
            <w:vAlign w:val="center"/>
          </w:tcPr>
          <w:p w:rsidR="007C50D0" w:rsidRPr="007C50D0" w:rsidRDefault="007C50D0" w:rsidP="00165A71">
            <w:pPr>
              <w:contextualSpacing/>
              <w:jc w:val="center"/>
              <w:rPr>
                <w:b/>
                <w:sz w:val="24"/>
                <w:szCs w:val="24"/>
              </w:rPr>
            </w:pPr>
            <w:r w:rsidRPr="007C50D0">
              <w:rPr>
                <w:b/>
                <w:sz w:val="24"/>
                <w:szCs w:val="24"/>
              </w:rPr>
              <w:t>2015</w:t>
            </w:r>
          </w:p>
        </w:tc>
        <w:tc>
          <w:tcPr>
            <w:tcW w:w="1105" w:type="dxa"/>
            <w:tcBorders>
              <w:top w:val="single" w:sz="4" w:space="0" w:color="auto"/>
              <w:bottom w:val="thickThinLargeGap" w:sz="24" w:space="0" w:color="auto"/>
            </w:tcBorders>
            <w:shd w:val="clear" w:color="auto" w:fill="auto"/>
            <w:vAlign w:val="center"/>
          </w:tcPr>
          <w:p w:rsidR="007C50D0" w:rsidRPr="007C50D0" w:rsidRDefault="007C50D0" w:rsidP="00165A71">
            <w:pPr>
              <w:contextualSpacing/>
              <w:jc w:val="center"/>
              <w:rPr>
                <w:b/>
                <w:sz w:val="24"/>
                <w:szCs w:val="24"/>
              </w:rPr>
            </w:pPr>
            <w:r w:rsidRPr="007C50D0">
              <w:rPr>
                <w:b/>
                <w:sz w:val="24"/>
                <w:szCs w:val="24"/>
              </w:rPr>
              <w:t>2016</w:t>
            </w:r>
          </w:p>
        </w:tc>
        <w:tc>
          <w:tcPr>
            <w:tcW w:w="1271" w:type="dxa"/>
            <w:tcBorders>
              <w:top w:val="single" w:sz="4" w:space="0" w:color="auto"/>
              <w:bottom w:val="thickThinLargeGap" w:sz="24" w:space="0" w:color="auto"/>
            </w:tcBorders>
            <w:shd w:val="clear" w:color="auto" w:fill="auto"/>
            <w:vAlign w:val="center"/>
          </w:tcPr>
          <w:p w:rsidR="007C50D0" w:rsidRPr="007C50D0" w:rsidRDefault="007C50D0" w:rsidP="00165A71">
            <w:pPr>
              <w:contextualSpacing/>
              <w:jc w:val="center"/>
              <w:rPr>
                <w:b/>
                <w:sz w:val="24"/>
                <w:szCs w:val="24"/>
              </w:rPr>
            </w:pPr>
            <w:r w:rsidRPr="007C50D0">
              <w:rPr>
                <w:b/>
                <w:sz w:val="24"/>
                <w:szCs w:val="24"/>
              </w:rPr>
              <w:t>2017</w:t>
            </w:r>
          </w:p>
        </w:tc>
      </w:tr>
      <w:tr w:rsidR="007C50D0" w:rsidRPr="007C50D0" w:rsidTr="00165A71">
        <w:trPr>
          <w:trHeight w:val="19"/>
        </w:trPr>
        <w:tc>
          <w:tcPr>
            <w:tcW w:w="3482" w:type="dxa"/>
            <w:tcBorders>
              <w:top w:val="thickThinLargeGap" w:sz="24" w:space="0" w:color="auto"/>
            </w:tcBorders>
            <w:vAlign w:val="center"/>
          </w:tcPr>
          <w:p w:rsidR="007C50D0" w:rsidRPr="007C50D0" w:rsidRDefault="007C50D0" w:rsidP="00165A71">
            <w:pPr>
              <w:contextualSpacing/>
              <w:jc w:val="center"/>
              <w:rPr>
                <w:b/>
                <w:sz w:val="24"/>
                <w:szCs w:val="24"/>
              </w:rPr>
            </w:pPr>
            <w:r w:rsidRPr="007C50D0">
              <w:rPr>
                <w:b/>
                <w:sz w:val="24"/>
                <w:szCs w:val="24"/>
              </w:rPr>
              <w:t>Уголовные</w:t>
            </w:r>
          </w:p>
        </w:tc>
        <w:tc>
          <w:tcPr>
            <w:tcW w:w="932" w:type="dxa"/>
            <w:tcBorders>
              <w:top w:val="thickThinLargeGap" w:sz="24" w:space="0" w:color="auto"/>
            </w:tcBorders>
            <w:vAlign w:val="center"/>
          </w:tcPr>
          <w:p w:rsidR="007C50D0" w:rsidRPr="007C50D0" w:rsidRDefault="007C50D0" w:rsidP="00165A71">
            <w:pPr>
              <w:contextualSpacing/>
              <w:jc w:val="center"/>
              <w:rPr>
                <w:i/>
                <w:sz w:val="24"/>
                <w:szCs w:val="24"/>
              </w:rPr>
            </w:pPr>
            <w:r w:rsidRPr="007C50D0">
              <w:rPr>
                <w:i/>
                <w:sz w:val="24"/>
                <w:szCs w:val="24"/>
              </w:rPr>
              <w:t>97,8</w:t>
            </w:r>
          </w:p>
        </w:tc>
        <w:tc>
          <w:tcPr>
            <w:tcW w:w="1223" w:type="dxa"/>
            <w:tcBorders>
              <w:top w:val="thickThinLargeGap" w:sz="24" w:space="0" w:color="auto"/>
            </w:tcBorders>
            <w:vAlign w:val="center"/>
          </w:tcPr>
          <w:p w:rsidR="007C50D0" w:rsidRPr="007C50D0" w:rsidRDefault="007C50D0" w:rsidP="00165A71">
            <w:pPr>
              <w:contextualSpacing/>
              <w:jc w:val="center"/>
              <w:rPr>
                <w:i/>
                <w:sz w:val="24"/>
                <w:szCs w:val="24"/>
              </w:rPr>
            </w:pPr>
            <w:r w:rsidRPr="007C50D0">
              <w:rPr>
                <w:i/>
                <w:sz w:val="24"/>
                <w:szCs w:val="24"/>
              </w:rPr>
              <w:t>97,6</w:t>
            </w:r>
          </w:p>
        </w:tc>
        <w:tc>
          <w:tcPr>
            <w:tcW w:w="1275" w:type="dxa"/>
            <w:tcBorders>
              <w:top w:val="thickThinLargeGap" w:sz="24" w:space="0" w:color="auto"/>
            </w:tcBorders>
            <w:vAlign w:val="center"/>
          </w:tcPr>
          <w:p w:rsidR="007C50D0" w:rsidRPr="007C50D0" w:rsidRDefault="007C50D0" w:rsidP="00165A71">
            <w:pPr>
              <w:contextualSpacing/>
              <w:jc w:val="center"/>
              <w:rPr>
                <w:i/>
                <w:sz w:val="24"/>
                <w:szCs w:val="24"/>
              </w:rPr>
            </w:pPr>
            <w:r w:rsidRPr="007C50D0">
              <w:rPr>
                <w:i/>
                <w:sz w:val="24"/>
                <w:szCs w:val="24"/>
              </w:rPr>
              <w:t>97,5</w:t>
            </w:r>
          </w:p>
        </w:tc>
        <w:tc>
          <w:tcPr>
            <w:tcW w:w="1105" w:type="dxa"/>
            <w:tcBorders>
              <w:top w:val="thickThinLargeGap" w:sz="24" w:space="0" w:color="auto"/>
            </w:tcBorders>
            <w:vAlign w:val="center"/>
          </w:tcPr>
          <w:p w:rsidR="007C50D0" w:rsidRPr="007C50D0" w:rsidRDefault="007C50D0" w:rsidP="00165A71">
            <w:pPr>
              <w:contextualSpacing/>
              <w:jc w:val="center"/>
              <w:rPr>
                <w:i/>
                <w:sz w:val="24"/>
                <w:szCs w:val="24"/>
              </w:rPr>
            </w:pPr>
            <w:r w:rsidRPr="007C50D0">
              <w:rPr>
                <w:i/>
                <w:sz w:val="24"/>
                <w:szCs w:val="24"/>
              </w:rPr>
              <w:t>98</w:t>
            </w:r>
          </w:p>
        </w:tc>
        <w:tc>
          <w:tcPr>
            <w:tcW w:w="1271" w:type="dxa"/>
            <w:tcBorders>
              <w:top w:val="thickThinLargeGap" w:sz="24" w:space="0" w:color="auto"/>
            </w:tcBorders>
            <w:vAlign w:val="center"/>
          </w:tcPr>
          <w:p w:rsidR="007C50D0" w:rsidRPr="007C50D0" w:rsidRDefault="007C50D0" w:rsidP="00165A71">
            <w:pPr>
              <w:contextualSpacing/>
              <w:jc w:val="center"/>
              <w:rPr>
                <w:i/>
                <w:sz w:val="24"/>
                <w:szCs w:val="24"/>
              </w:rPr>
            </w:pPr>
            <w:r w:rsidRPr="007C50D0">
              <w:rPr>
                <w:i/>
                <w:sz w:val="24"/>
                <w:szCs w:val="24"/>
              </w:rPr>
              <w:t>98</w:t>
            </w:r>
          </w:p>
        </w:tc>
      </w:tr>
      <w:tr w:rsidR="007C50D0" w:rsidRPr="007C50D0" w:rsidTr="00165A71">
        <w:trPr>
          <w:trHeight w:val="62"/>
        </w:trPr>
        <w:tc>
          <w:tcPr>
            <w:tcW w:w="3482" w:type="dxa"/>
            <w:vAlign w:val="center"/>
          </w:tcPr>
          <w:p w:rsidR="007C50D0" w:rsidRPr="007C50D0" w:rsidRDefault="007C50D0" w:rsidP="00165A71">
            <w:pPr>
              <w:contextualSpacing/>
              <w:jc w:val="center"/>
              <w:rPr>
                <w:b/>
                <w:sz w:val="24"/>
                <w:szCs w:val="24"/>
                <w:lang w:val="en-US"/>
              </w:rPr>
            </w:pPr>
            <w:r w:rsidRPr="007C50D0">
              <w:rPr>
                <w:b/>
                <w:sz w:val="24"/>
                <w:szCs w:val="24"/>
              </w:rPr>
              <w:t>Гражданские</w:t>
            </w:r>
          </w:p>
        </w:tc>
        <w:tc>
          <w:tcPr>
            <w:tcW w:w="932" w:type="dxa"/>
            <w:vAlign w:val="center"/>
          </w:tcPr>
          <w:p w:rsidR="007C50D0" w:rsidRPr="007C50D0" w:rsidRDefault="007C50D0" w:rsidP="00165A71">
            <w:pPr>
              <w:contextualSpacing/>
              <w:jc w:val="center"/>
              <w:rPr>
                <w:i/>
                <w:sz w:val="24"/>
                <w:szCs w:val="24"/>
              </w:rPr>
            </w:pPr>
            <w:r w:rsidRPr="007C50D0">
              <w:rPr>
                <w:i/>
                <w:sz w:val="24"/>
                <w:szCs w:val="24"/>
              </w:rPr>
              <w:t>99,8</w:t>
            </w:r>
          </w:p>
        </w:tc>
        <w:tc>
          <w:tcPr>
            <w:tcW w:w="1223" w:type="dxa"/>
            <w:vAlign w:val="center"/>
          </w:tcPr>
          <w:p w:rsidR="007C50D0" w:rsidRPr="007C50D0" w:rsidRDefault="007C50D0" w:rsidP="00165A71">
            <w:pPr>
              <w:contextualSpacing/>
              <w:jc w:val="center"/>
              <w:rPr>
                <w:i/>
                <w:sz w:val="24"/>
                <w:szCs w:val="24"/>
              </w:rPr>
            </w:pPr>
            <w:r w:rsidRPr="007C50D0">
              <w:rPr>
                <w:i/>
                <w:sz w:val="24"/>
                <w:szCs w:val="24"/>
              </w:rPr>
              <w:t>99,8</w:t>
            </w:r>
          </w:p>
        </w:tc>
        <w:tc>
          <w:tcPr>
            <w:tcW w:w="1275" w:type="dxa"/>
            <w:vAlign w:val="center"/>
          </w:tcPr>
          <w:p w:rsidR="007C50D0" w:rsidRPr="007C50D0" w:rsidRDefault="007C50D0" w:rsidP="00165A71">
            <w:pPr>
              <w:contextualSpacing/>
              <w:jc w:val="center"/>
              <w:rPr>
                <w:i/>
                <w:sz w:val="24"/>
                <w:szCs w:val="24"/>
              </w:rPr>
            </w:pPr>
            <w:r w:rsidRPr="007C50D0">
              <w:rPr>
                <w:i/>
                <w:sz w:val="24"/>
                <w:szCs w:val="24"/>
              </w:rPr>
              <w:t>99,9</w:t>
            </w:r>
          </w:p>
        </w:tc>
        <w:tc>
          <w:tcPr>
            <w:tcW w:w="1105" w:type="dxa"/>
            <w:vAlign w:val="center"/>
          </w:tcPr>
          <w:p w:rsidR="007C50D0" w:rsidRPr="007C50D0" w:rsidRDefault="007C50D0" w:rsidP="00165A71">
            <w:pPr>
              <w:contextualSpacing/>
              <w:jc w:val="center"/>
              <w:rPr>
                <w:i/>
                <w:sz w:val="24"/>
                <w:szCs w:val="24"/>
              </w:rPr>
            </w:pPr>
            <w:r w:rsidRPr="007C50D0">
              <w:rPr>
                <w:i/>
                <w:sz w:val="24"/>
                <w:szCs w:val="24"/>
              </w:rPr>
              <w:t>99,8</w:t>
            </w:r>
          </w:p>
        </w:tc>
        <w:tc>
          <w:tcPr>
            <w:tcW w:w="1271" w:type="dxa"/>
            <w:vAlign w:val="center"/>
          </w:tcPr>
          <w:p w:rsidR="007C50D0" w:rsidRPr="007C50D0" w:rsidRDefault="007C50D0" w:rsidP="00165A71">
            <w:pPr>
              <w:contextualSpacing/>
              <w:jc w:val="center"/>
              <w:rPr>
                <w:i/>
                <w:sz w:val="24"/>
                <w:szCs w:val="24"/>
              </w:rPr>
            </w:pPr>
            <w:r w:rsidRPr="007C50D0">
              <w:rPr>
                <w:i/>
                <w:sz w:val="24"/>
                <w:szCs w:val="24"/>
              </w:rPr>
              <w:t>99,9</w:t>
            </w:r>
          </w:p>
        </w:tc>
      </w:tr>
    </w:tbl>
    <w:p w:rsidR="007C50D0" w:rsidRPr="007C50D0" w:rsidRDefault="007C50D0" w:rsidP="008619A6">
      <w:pPr>
        <w:ind w:firstLine="900"/>
        <w:contextualSpacing/>
        <w:jc w:val="both"/>
        <w:rPr>
          <w:sz w:val="28"/>
          <w:szCs w:val="28"/>
        </w:rPr>
      </w:pPr>
      <w:r w:rsidRPr="007C50D0">
        <w:rPr>
          <w:sz w:val="24"/>
          <w:szCs w:val="24"/>
        </w:rPr>
        <w:t xml:space="preserve">                                                                                                            Таблица </w:t>
      </w:r>
      <w:r w:rsidR="00F8243A">
        <w:rPr>
          <w:sz w:val="24"/>
          <w:szCs w:val="24"/>
        </w:rPr>
        <w:t>38</w:t>
      </w:r>
    </w:p>
    <w:p w:rsidR="007C50D0" w:rsidRPr="007C50D0" w:rsidRDefault="007C50D0" w:rsidP="008619A6">
      <w:pPr>
        <w:ind w:firstLine="567"/>
        <w:contextualSpacing/>
        <w:jc w:val="both"/>
        <w:rPr>
          <w:sz w:val="28"/>
          <w:szCs w:val="28"/>
        </w:rPr>
      </w:pPr>
      <w:proofErr w:type="gramStart"/>
      <w:r w:rsidRPr="007C50D0">
        <w:rPr>
          <w:sz w:val="28"/>
          <w:szCs w:val="28"/>
        </w:rPr>
        <w:t xml:space="preserve">Из данных, представленных в Таблице </w:t>
      </w:r>
      <w:r w:rsidR="00165A71">
        <w:rPr>
          <w:sz w:val="28"/>
          <w:szCs w:val="28"/>
        </w:rPr>
        <w:t>38</w:t>
      </w:r>
      <w:r w:rsidRPr="007C50D0">
        <w:rPr>
          <w:sz w:val="28"/>
          <w:szCs w:val="28"/>
        </w:rPr>
        <w:t>, следует, что показатель качества работы мировых судей Республики Татарстан, как в уголовном производстве, так и в гражданском, сохраняет достаточно высокий уровень в течение последних пяти лет.</w:t>
      </w:r>
      <w:proofErr w:type="gramEnd"/>
      <w:r w:rsidRPr="007C50D0">
        <w:rPr>
          <w:sz w:val="28"/>
          <w:szCs w:val="28"/>
        </w:rPr>
        <w:t xml:space="preserve"> Стабильность работы в</w:t>
      </w:r>
      <w:r w:rsidRPr="007C50D0">
        <w:rPr>
          <w:bCs/>
          <w:color w:val="000000"/>
          <w:sz w:val="28"/>
          <w:szCs w:val="28"/>
        </w:rPr>
        <w:t xml:space="preserve"> текущем периоде в производстве об административных правонарушениях составляет 99,7%.</w:t>
      </w:r>
    </w:p>
    <w:p w:rsidR="007C50D0" w:rsidRPr="007C50D0" w:rsidRDefault="007C50D0" w:rsidP="008619A6">
      <w:pPr>
        <w:ind w:firstLine="840"/>
        <w:contextualSpacing/>
        <w:jc w:val="both"/>
        <w:rPr>
          <w:b/>
          <w:sz w:val="28"/>
          <w:szCs w:val="28"/>
          <w:u w:val="single"/>
        </w:rPr>
      </w:pPr>
      <w:r w:rsidRPr="007C50D0">
        <w:rPr>
          <w:b/>
          <w:sz w:val="28"/>
          <w:szCs w:val="28"/>
          <w:u w:val="single"/>
        </w:rPr>
        <w:t>Уголовное судопроизводство</w:t>
      </w:r>
    </w:p>
    <w:p w:rsidR="007C50D0" w:rsidRPr="007C50D0" w:rsidRDefault="007C50D0" w:rsidP="008619A6">
      <w:pPr>
        <w:ind w:firstLine="840"/>
        <w:contextualSpacing/>
        <w:jc w:val="both"/>
        <w:rPr>
          <w:sz w:val="28"/>
          <w:szCs w:val="28"/>
        </w:rPr>
      </w:pPr>
      <w:r w:rsidRPr="007C50D0">
        <w:rPr>
          <w:sz w:val="28"/>
          <w:szCs w:val="28"/>
        </w:rPr>
        <w:t xml:space="preserve">Наибольшее количество дел рассмотрено по следующим категориям: </w:t>
      </w:r>
    </w:p>
    <w:p w:rsidR="007C50D0" w:rsidRPr="007C50D0" w:rsidRDefault="007C50D0" w:rsidP="00335DC8">
      <w:pPr>
        <w:numPr>
          <w:ilvl w:val="0"/>
          <w:numId w:val="10"/>
        </w:numPr>
        <w:contextualSpacing/>
        <w:jc w:val="both"/>
        <w:rPr>
          <w:sz w:val="28"/>
          <w:szCs w:val="28"/>
        </w:rPr>
      </w:pPr>
      <w:r w:rsidRPr="007C50D0">
        <w:rPr>
          <w:sz w:val="28"/>
          <w:szCs w:val="28"/>
        </w:rPr>
        <w:t>кража (статья 158 УК РФ) – 1734 дела, что составляет 18,3% от общего количества рассмотренных дел;</w:t>
      </w:r>
    </w:p>
    <w:p w:rsidR="007C50D0" w:rsidRPr="007C50D0" w:rsidRDefault="007C50D0" w:rsidP="00335DC8">
      <w:pPr>
        <w:numPr>
          <w:ilvl w:val="0"/>
          <w:numId w:val="10"/>
        </w:numPr>
        <w:contextualSpacing/>
        <w:jc w:val="both"/>
        <w:rPr>
          <w:sz w:val="28"/>
          <w:szCs w:val="28"/>
        </w:rPr>
      </w:pPr>
      <w:r w:rsidRPr="007C50D0">
        <w:rPr>
          <w:sz w:val="28"/>
          <w:szCs w:val="28"/>
        </w:rPr>
        <w:t>нарушение правил безопасности движения и эксплуатации транспорта (статьи 263-271.1 УК РФ) – 1400 дел, или 14,8%;</w:t>
      </w:r>
    </w:p>
    <w:p w:rsidR="007C50D0" w:rsidRPr="007C50D0" w:rsidRDefault="007C50D0" w:rsidP="00335DC8">
      <w:pPr>
        <w:numPr>
          <w:ilvl w:val="0"/>
          <w:numId w:val="10"/>
        </w:numPr>
        <w:contextualSpacing/>
        <w:jc w:val="both"/>
        <w:rPr>
          <w:sz w:val="28"/>
          <w:szCs w:val="28"/>
        </w:rPr>
      </w:pPr>
      <w:r w:rsidRPr="007C50D0">
        <w:rPr>
          <w:sz w:val="28"/>
          <w:szCs w:val="28"/>
        </w:rPr>
        <w:lastRenderedPageBreak/>
        <w:t>дела, связанные с умышленным причинением тяжкого либо средней тяжести вреда здоровью, – 457 дел, или 4,8%;</w:t>
      </w:r>
    </w:p>
    <w:p w:rsidR="007C50D0" w:rsidRPr="007C50D0" w:rsidRDefault="007C50D0" w:rsidP="00335DC8">
      <w:pPr>
        <w:numPr>
          <w:ilvl w:val="0"/>
          <w:numId w:val="10"/>
        </w:numPr>
        <w:contextualSpacing/>
        <w:jc w:val="both"/>
        <w:rPr>
          <w:sz w:val="28"/>
          <w:szCs w:val="28"/>
        </w:rPr>
      </w:pPr>
      <w:r w:rsidRPr="007C50D0">
        <w:rPr>
          <w:sz w:val="28"/>
          <w:szCs w:val="28"/>
        </w:rPr>
        <w:t>мошенничество (статья 159 УК РФ) – 308 дел, или 3,2%.</w:t>
      </w:r>
    </w:p>
    <w:p w:rsidR="007C50D0" w:rsidRPr="007C50D0" w:rsidRDefault="007C50D0" w:rsidP="008619A6">
      <w:pPr>
        <w:ind w:firstLine="567"/>
        <w:contextualSpacing/>
        <w:jc w:val="both"/>
        <w:rPr>
          <w:sz w:val="28"/>
          <w:szCs w:val="28"/>
        </w:rPr>
      </w:pPr>
      <w:r w:rsidRPr="007C50D0">
        <w:rPr>
          <w:sz w:val="28"/>
          <w:szCs w:val="28"/>
        </w:rPr>
        <w:t>Информация о наиболее распространенных категориях уголовных дел за последние пять лет представлена на Графике 17.</w:t>
      </w:r>
    </w:p>
    <w:p w:rsidR="007C50D0" w:rsidRPr="007C50D0" w:rsidRDefault="007C50D0" w:rsidP="008619A6">
      <w:pPr>
        <w:ind w:firstLine="851"/>
        <w:contextualSpacing/>
        <w:jc w:val="both"/>
        <w:rPr>
          <w:sz w:val="24"/>
          <w:szCs w:val="24"/>
        </w:rPr>
      </w:pPr>
      <w:r w:rsidRPr="007C50D0">
        <w:rPr>
          <w:sz w:val="28"/>
          <w:szCs w:val="28"/>
        </w:rPr>
        <w:t xml:space="preserve">                                                                                                         </w:t>
      </w:r>
      <w:r w:rsidRPr="007C50D0">
        <w:rPr>
          <w:sz w:val="24"/>
          <w:szCs w:val="24"/>
        </w:rPr>
        <w:t>График 1</w:t>
      </w:r>
      <w:r w:rsidR="00F8243A">
        <w:rPr>
          <w:sz w:val="24"/>
          <w:szCs w:val="24"/>
        </w:rPr>
        <w:t>6</w:t>
      </w:r>
    </w:p>
    <w:p w:rsidR="007C50D0" w:rsidRPr="007C50D0" w:rsidRDefault="007C50D0" w:rsidP="00A1659D">
      <w:pPr>
        <w:ind w:firstLine="567"/>
        <w:contextualSpacing/>
        <w:jc w:val="both"/>
        <w:rPr>
          <w:sz w:val="24"/>
          <w:szCs w:val="24"/>
        </w:rPr>
      </w:pPr>
      <w:r>
        <w:rPr>
          <w:noProof/>
        </w:rPr>
        <w:drawing>
          <wp:inline distT="0" distB="0" distL="0" distR="0" wp14:anchorId="296BB941" wp14:editId="24AEBFDE">
            <wp:extent cx="5346356" cy="3163330"/>
            <wp:effectExtent l="0" t="0" r="26035" b="1841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C50D0" w:rsidRPr="005B4FBE" w:rsidRDefault="007C50D0" w:rsidP="008619A6">
      <w:pPr>
        <w:ind w:firstLine="567"/>
        <w:contextualSpacing/>
        <w:jc w:val="both"/>
        <w:rPr>
          <w:sz w:val="28"/>
          <w:szCs w:val="28"/>
        </w:rPr>
      </w:pPr>
      <w:r w:rsidRPr="007C50D0">
        <w:rPr>
          <w:sz w:val="28"/>
          <w:szCs w:val="28"/>
        </w:rPr>
        <w:t xml:space="preserve">Уменьшилось количество дел, связанных с кражей (статья 158 УК РФ) – на 4,3%. Значительно сократилось число дел по делам частного обвинения </w:t>
      </w:r>
      <w:r w:rsidRPr="005B4FBE">
        <w:rPr>
          <w:sz w:val="28"/>
          <w:szCs w:val="28"/>
        </w:rPr>
        <w:t>(</w:t>
      </w:r>
      <w:r w:rsidR="005B4FBE" w:rsidRPr="005B4FBE">
        <w:rPr>
          <w:sz w:val="28"/>
          <w:szCs w:val="28"/>
        </w:rPr>
        <w:t>ст.115, ч.1 ст.</w:t>
      </w:r>
      <w:r w:rsidRPr="005B4FBE">
        <w:rPr>
          <w:sz w:val="28"/>
          <w:szCs w:val="28"/>
        </w:rPr>
        <w:t>116</w:t>
      </w:r>
      <w:r w:rsidR="005B4FBE" w:rsidRPr="005B4FBE">
        <w:rPr>
          <w:sz w:val="28"/>
          <w:szCs w:val="28"/>
        </w:rPr>
        <w:t>,</w:t>
      </w:r>
      <w:r w:rsidRPr="005B4FBE">
        <w:rPr>
          <w:sz w:val="28"/>
          <w:szCs w:val="28"/>
        </w:rPr>
        <w:t xml:space="preserve"> ч.1</w:t>
      </w:r>
      <w:r w:rsidR="005B4FBE" w:rsidRPr="005B4FBE">
        <w:rPr>
          <w:sz w:val="28"/>
          <w:szCs w:val="28"/>
        </w:rPr>
        <w:t xml:space="preserve"> ст.</w:t>
      </w:r>
      <w:r w:rsidRPr="005B4FBE">
        <w:rPr>
          <w:sz w:val="28"/>
          <w:szCs w:val="28"/>
        </w:rPr>
        <w:t>116.1</w:t>
      </w:r>
      <w:r w:rsidR="005B4FBE" w:rsidRPr="005B4FBE">
        <w:rPr>
          <w:sz w:val="28"/>
          <w:szCs w:val="28"/>
        </w:rPr>
        <w:t>, ч.1 ст. 128</w:t>
      </w:r>
      <w:r w:rsidRPr="005B4FBE">
        <w:rPr>
          <w:sz w:val="28"/>
          <w:szCs w:val="28"/>
        </w:rPr>
        <w:t xml:space="preserve"> УК РФ) – на 8,1%.</w:t>
      </w:r>
    </w:p>
    <w:p w:rsidR="007C50D0" w:rsidRPr="007C50D0" w:rsidRDefault="007C50D0" w:rsidP="008619A6">
      <w:pPr>
        <w:ind w:firstLine="567"/>
        <w:contextualSpacing/>
        <w:jc w:val="both"/>
        <w:rPr>
          <w:sz w:val="28"/>
          <w:szCs w:val="28"/>
        </w:rPr>
      </w:pPr>
      <w:r w:rsidRPr="007C50D0">
        <w:rPr>
          <w:sz w:val="28"/>
          <w:szCs w:val="28"/>
        </w:rPr>
        <w:t>Практически на уровне предыдущего отчетного периода осталось количества уголовных дел, связанных с преступлениями против лиц, осуществляющих правосудие, предварительное расследование и других представителей власти (статьи 294-298, 317-321 УК РФ), умышленное причинение вреда здоровью (статьи 111-118</w:t>
      </w:r>
      <w:r w:rsidRPr="007C50D0">
        <w:t xml:space="preserve"> </w:t>
      </w:r>
      <w:r w:rsidRPr="007C50D0">
        <w:rPr>
          <w:sz w:val="28"/>
          <w:szCs w:val="28"/>
        </w:rPr>
        <w:t>УК РФ), мошенничество (статья 159</w:t>
      </w:r>
      <w:r w:rsidRPr="007C50D0">
        <w:t xml:space="preserve"> </w:t>
      </w:r>
      <w:r w:rsidRPr="007C50D0">
        <w:rPr>
          <w:sz w:val="28"/>
          <w:szCs w:val="28"/>
        </w:rPr>
        <w:t>УК РФ), присвоение или растрата (статья 160 УК РФ).</w:t>
      </w:r>
    </w:p>
    <w:p w:rsidR="00C414DD" w:rsidRPr="007C50D0" w:rsidRDefault="00C414DD" w:rsidP="00C414DD">
      <w:pPr>
        <w:ind w:firstLine="851"/>
        <w:contextualSpacing/>
        <w:jc w:val="both"/>
        <w:rPr>
          <w:sz w:val="24"/>
          <w:szCs w:val="24"/>
        </w:rPr>
      </w:pPr>
      <w:r w:rsidRPr="007C50D0">
        <w:rPr>
          <w:b/>
          <w:sz w:val="28"/>
          <w:szCs w:val="28"/>
        </w:rPr>
        <w:t xml:space="preserve">                                                                                                   </w:t>
      </w:r>
      <w:r w:rsidRPr="007C50D0">
        <w:rPr>
          <w:sz w:val="24"/>
          <w:szCs w:val="24"/>
        </w:rPr>
        <w:t xml:space="preserve">Диаграмма </w:t>
      </w:r>
      <w:r>
        <w:rPr>
          <w:sz w:val="24"/>
          <w:szCs w:val="24"/>
        </w:rPr>
        <w:t>21</w:t>
      </w:r>
    </w:p>
    <w:p w:rsidR="00C414DD" w:rsidRPr="007C50D0" w:rsidRDefault="00C414DD" w:rsidP="00C414DD">
      <w:pPr>
        <w:ind w:firstLine="567"/>
        <w:contextualSpacing/>
        <w:jc w:val="both"/>
        <w:rPr>
          <w:sz w:val="24"/>
          <w:szCs w:val="24"/>
        </w:rPr>
      </w:pPr>
      <w:r>
        <w:rPr>
          <w:noProof/>
        </w:rPr>
        <w:drawing>
          <wp:inline distT="0" distB="0" distL="0" distR="0" wp14:anchorId="1B46AC22" wp14:editId="01464FC6">
            <wp:extent cx="5148648" cy="2265405"/>
            <wp:effectExtent l="0" t="0" r="13970" b="20955"/>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45BEB" w:rsidRPr="007C50D0" w:rsidRDefault="00E45BEB" w:rsidP="00E45BEB">
      <w:pPr>
        <w:ind w:firstLine="567"/>
        <w:contextualSpacing/>
        <w:jc w:val="both"/>
        <w:rPr>
          <w:sz w:val="28"/>
          <w:szCs w:val="28"/>
        </w:rPr>
      </w:pPr>
      <w:r w:rsidRPr="007C50D0">
        <w:rPr>
          <w:sz w:val="28"/>
          <w:szCs w:val="28"/>
        </w:rPr>
        <w:lastRenderedPageBreak/>
        <w:t xml:space="preserve">В сравнении с 2015 годом значительно увеличилось количество дел, связанных с нарушение правил безопасности движения и эксплуатации транспорта (статьи 263-271.1 УК РФ), – на 10,6%. </w:t>
      </w:r>
    </w:p>
    <w:p w:rsidR="00E45BEB" w:rsidRDefault="00E45BEB" w:rsidP="00E45BEB">
      <w:pPr>
        <w:ind w:firstLine="567"/>
        <w:contextualSpacing/>
        <w:jc w:val="both"/>
        <w:rPr>
          <w:sz w:val="28"/>
          <w:szCs w:val="28"/>
        </w:rPr>
      </w:pPr>
      <w:r w:rsidRPr="007C50D0">
        <w:rPr>
          <w:sz w:val="28"/>
          <w:szCs w:val="28"/>
        </w:rPr>
        <w:t xml:space="preserve">Структурный состав рассмотренных уголовных дел по видам преступлений представлен </w:t>
      </w:r>
      <w:r>
        <w:rPr>
          <w:sz w:val="28"/>
          <w:szCs w:val="28"/>
        </w:rPr>
        <w:t xml:space="preserve">на </w:t>
      </w:r>
      <w:r w:rsidRPr="007C50D0">
        <w:rPr>
          <w:sz w:val="28"/>
          <w:szCs w:val="28"/>
        </w:rPr>
        <w:t xml:space="preserve">Диаграмме </w:t>
      </w:r>
      <w:r>
        <w:rPr>
          <w:sz w:val="28"/>
          <w:szCs w:val="28"/>
        </w:rPr>
        <w:t>21</w:t>
      </w:r>
      <w:r>
        <w:rPr>
          <w:sz w:val="28"/>
          <w:szCs w:val="28"/>
        </w:rPr>
        <w:t xml:space="preserve">и </w:t>
      </w:r>
      <w:r w:rsidRPr="007C50D0">
        <w:rPr>
          <w:sz w:val="28"/>
          <w:szCs w:val="28"/>
        </w:rPr>
        <w:t xml:space="preserve">в Таблице </w:t>
      </w:r>
      <w:r>
        <w:rPr>
          <w:sz w:val="28"/>
          <w:szCs w:val="28"/>
        </w:rPr>
        <w:t>39</w:t>
      </w:r>
      <w:r w:rsidRPr="007C50D0">
        <w:rPr>
          <w:sz w:val="28"/>
          <w:szCs w:val="28"/>
        </w:rPr>
        <w:t xml:space="preserve">.  </w:t>
      </w:r>
    </w:p>
    <w:p w:rsidR="007C50D0" w:rsidRPr="007C50D0" w:rsidRDefault="007C50D0" w:rsidP="008619A6">
      <w:pPr>
        <w:ind w:firstLine="851"/>
        <w:contextualSpacing/>
        <w:jc w:val="both"/>
        <w:rPr>
          <w:sz w:val="24"/>
          <w:szCs w:val="24"/>
        </w:rPr>
      </w:pPr>
      <w:r w:rsidRPr="007C50D0">
        <w:rPr>
          <w:sz w:val="24"/>
          <w:szCs w:val="24"/>
        </w:rPr>
        <w:t xml:space="preserve">                                                                                                                      Таблица </w:t>
      </w:r>
      <w:r w:rsidR="00F8243A">
        <w:rPr>
          <w:sz w:val="24"/>
          <w:szCs w:val="24"/>
        </w:rPr>
        <w:t>39</w:t>
      </w:r>
    </w:p>
    <w:tbl>
      <w:tblPr>
        <w:tblW w:w="9639" w:type="dxa"/>
        <w:tblInd w:w="108" w:type="dxa"/>
        <w:tblLayout w:type="fixed"/>
        <w:tblLook w:val="0000" w:firstRow="0" w:lastRow="0" w:firstColumn="0" w:lastColumn="0" w:noHBand="0" w:noVBand="0"/>
      </w:tblPr>
      <w:tblGrid>
        <w:gridCol w:w="1168"/>
        <w:gridCol w:w="818"/>
        <w:gridCol w:w="1182"/>
        <w:gridCol w:w="1152"/>
        <w:gridCol w:w="1080"/>
        <w:gridCol w:w="925"/>
        <w:gridCol w:w="1115"/>
        <w:gridCol w:w="1065"/>
        <w:gridCol w:w="1134"/>
      </w:tblGrid>
      <w:tr w:rsidR="007C50D0" w:rsidRPr="007C50D0" w:rsidTr="007C50D0">
        <w:trPr>
          <w:trHeight w:val="293"/>
        </w:trPr>
        <w:tc>
          <w:tcPr>
            <w:tcW w:w="9639" w:type="dxa"/>
            <w:gridSpan w:val="9"/>
            <w:tcBorders>
              <w:top w:val="double" w:sz="6" w:space="0" w:color="auto"/>
              <w:left w:val="double" w:sz="6" w:space="0" w:color="auto"/>
              <w:bottom w:val="single" w:sz="4" w:space="0" w:color="auto"/>
              <w:right w:val="double" w:sz="6" w:space="0" w:color="000000"/>
            </w:tcBorders>
            <w:shd w:val="clear" w:color="auto" w:fill="F3F3F3"/>
            <w:vAlign w:val="center"/>
          </w:tcPr>
          <w:p w:rsidR="007C50D0" w:rsidRPr="007C50D0" w:rsidRDefault="007C50D0" w:rsidP="008619A6">
            <w:pPr>
              <w:contextualSpacing/>
              <w:jc w:val="center"/>
              <w:rPr>
                <w:b/>
                <w:bCs/>
                <w:sz w:val="24"/>
                <w:szCs w:val="24"/>
              </w:rPr>
            </w:pPr>
            <w:r w:rsidRPr="007C50D0">
              <w:rPr>
                <w:b/>
                <w:bCs/>
                <w:sz w:val="24"/>
                <w:szCs w:val="24"/>
              </w:rPr>
              <w:t>Категории уголовных дел, рассмотренных за 12 месяцев</w:t>
            </w:r>
          </w:p>
        </w:tc>
      </w:tr>
      <w:tr w:rsidR="007C50D0" w:rsidRPr="007C50D0" w:rsidTr="007C50D0">
        <w:trPr>
          <w:trHeight w:val="2069"/>
        </w:trPr>
        <w:tc>
          <w:tcPr>
            <w:tcW w:w="1168" w:type="dxa"/>
            <w:tcBorders>
              <w:top w:val="single" w:sz="4" w:space="0" w:color="auto"/>
              <w:left w:val="double" w:sz="6"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bCs/>
                <w:sz w:val="24"/>
                <w:szCs w:val="24"/>
              </w:rPr>
            </w:pPr>
          </w:p>
        </w:tc>
        <w:tc>
          <w:tcPr>
            <w:tcW w:w="818" w:type="dxa"/>
            <w:tcBorders>
              <w:top w:val="single" w:sz="4" w:space="0" w:color="auto"/>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Кража</w:t>
            </w:r>
          </w:p>
        </w:tc>
        <w:tc>
          <w:tcPr>
            <w:tcW w:w="1182" w:type="dxa"/>
            <w:tcBorders>
              <w:top w:val="single" w:sz="4" w:space="0" w:color="auto"/>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Дела частного обвинения</w:t>
            </w:r>
          </w:p>
        </w:tc>
        <w:tc>
          <w:tcPr>
            <w:tcW w:w="1152" w:type="dxa"/>
            <w:tcBorders>
              <w:top w:val="single" w:sz="4" w:space="0" w:color="auto"/>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Преступления против лиц, осуществляющих правосудие</w:t>
            </w:r>
          </w:p>
        </w:tc>
        <w:tc>
          <w:tcPr>
            <w:tcW w:w="1080" w:type="dxa"/>
            <w:tcBorders>
              <w:top w:val="single" w:sz="4" w:space="0" w:color="auto"/>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Нарушение правил безопасности движения (263-271.1)</w:t>
            </w:r>
          </w:p>
        </w:tc>
        <w:tc>
          <w:tcPr>
            <w:tcW w:w="925" w:type="dxa"/>
            <w:tcBorders>
              <w:top w:val="single" w:sz="4" w:space="0" w:color="auto"/>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Мошенничество</w:t>
            </w:r>
          </w:p>
        </w:tc>
        <w:tc>
          <w:tcPr>
            <w:tcW w:w="1115" w:type="dxa"/>
            <w:tcBorders>
              <w:top w:val="single" w:sz="4" w:space="0" w:color="auto"/>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Умышленное причинение вреда здоровью (ст. 111, 112,113, 114,117, 118)</w:t>
            </w:r>
          </w:p>
        </w:tc>
        <w:tc>
          <w:tcPr>
            <w:tcW w:w="1065" w:type="dxa"/>
            <w:tcBorders>
              <w:top w:val="single" w:sz="4" w:space="0" w:color="auto"/>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Присвоение или растрата</w:t>
            </w:r>
          </w:p>
        </w:tc>
        <w:tc>
          <w:tcPr>
            <w:tcW w:w="1134" w:type="dxa"/>
            <w:tcBorders>
              <w:top w:val="single" w:sz="4" w:space="0" w:color="auto"/>
              <w:left w:val="single" w:sz="4" w:space="0" w:color="auto"/>
              <w:bottom w:val="double" w:sz="6" w:space="0" w:color="auto"/>
              <w:right w:val="double" w:sz="6"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Иные преступления</w:t>
            </w:r>
          </w:p>
        </w:tc>
      </w:tr>
      <w:tr w:rsidR="007C50D0" w:rsidRPr="007C50D0" w:rsidTr="007C50D0">
        <w:trPr>
          <w:trHeight w:val="27"/>
        </w:trPr>
        <w:tc>
          <w:tcPr>
            <w:tcW w:w="1168" w:type="dxa"/>
            <w:tcBorders>
              <w:top w:val="double" w:sz="6" w:space="0" w:color="auto"/>
              <w:left w:val="double" w:sz="6" w:space="0" w:color="auto"/>
              <w:bottom w:val="nil"/>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2015</w:t>
            </w:r>
          </w:p>
        </w:tc>
        <w:tc>
          <w:tcPr>
            <w:tcW w:w="818"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2661</w:t>
            </w:r>
          </w:p>
        </w:tc>
        <w:tc>
          <w:tcPr>
            <w:tcW w:w="1182"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1546</w:t>
            </w:r>
          </w:p>
        </w:tc>
        <w:tc>
          <w:tcPr>
            <w:tcW w:w="1152"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323</w:t>
            </w:r>
          </w:p>
        </w:tc>
        <w:tc>
          <w:tcPr>
            <w:tcW w:w="1080"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399</w:t>
            </w:r>
          </w:p>
        </w:tc>
        <w:tc>
          <w:tcPr>
            <w:tcW w:w="925"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304</w:t>
            </w:r>
          </w:p>
        </w:tc>
        <w:tc>
          <w:tcPr>
            <w:tcW w:w="1115"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478</w:t>
            </w:r>
          </w:p>
        </w:tc>
        <w:tc>
          <w:tcPr>
            <w:tcW w:w="1065"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148</w:t>
            </w:r>
          </w:p>
        </w:tc>
        <w:tc>
          <w:tcPr>
            <w:tcW w:w="1134" w:type="dxa"/>
            <w:tcBorders>
              <w:top w:val="double" w:sz="6" w:space="0" w:color="auto"/>
              <w:left w:val="single" w:sz="4" w:space="0" w:color="auto"/>
              <w:bottom w:val="nil"/>
              <w:right w:val="double" w:sz="6"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3427</w:t>
            </w:r>
          </w:p>
        </w:tc>
      </w:tr>
      <w:tr w:rsidR="007C50D0" w:rsidRPr="007C50D0" w:rsidTr="007C50D0">
        <w:trPr>
          <w:trHeight w:val="72"/>
        </w:trPr>
        <w:tc>
          <w:tcPr>
            <w:tcW w:w="1168" w:type="dxa"/>
            <w:tcBorders>
              <w:top w:val="nil"/>
              <w:left w:val="double" w:sz="6"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w:t>
            </w:r>
          </w:p>
        </w:tc>
        <w:tc>
          <w:tcPr>
            <w:tcW w:w="818"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28,2</w:t>
            </w:r>
          </w:p>
        </w:tc>
        <w:tc>
          <w:tcPr>
            <w:tcW w:w="1182"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16,4</w:t>
            </w:r>
          </w:p>
        </w:tc>
        <w:tc>
          <w:tcPr>
            <w:tcW w:w="1152"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3,4</w:t>
            </w:r>
          </w:p>
        </w:tc>
        <w:tc>
          <w:tcPr>
            <w:tcW w:w="1080"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4,2</w:t>
            </w:r>
          </w:p>
        </w:tc>
        <w:tc>
          <w:tcPr>
            <w:tcW w:w="925"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3,2</w:t>
            </w:r>
          </w:p>
        </w:tc>
        <w:tc>
          <w:tcPr>
            <w:tcW w:w="1115"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5,1</w:t>
            </w:r>
          </w:p>
        </w:tc>
        <w:tc>
          <w:tcPr>
            <w:tcW w:w="1065"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1,6</w:t>
            </w:r>
          </w:p>
        </w:tc>
        <w:tc>
          <w:tcPr>
            <w:tcW w:w="1134" w:type="dxa"/>
            <w:tcBorders>
              <w:top w:val="nil"/>
              <w:left w:val="single" w:sz="4" w:space="0" w:color="auto"/>
              <w:bottom w:val="double" w:sz="6" w:space="0" w:color="auto"/>
              <w:right w:val="double" w:sz="6"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36,3</w:t>
            </w:r>
          </w:p>
        </w:tc>
      </w:tr>
      <w:tr w:rsidR="007C50D0" w:rsidRPr="007C50D0" w:rsidTr="007C50D0">
        <w:trPr>
          <w:trHeight w:val="27"/>
        </w:trPr>
        <w:tc>
          <w:tcPr>
            <w:tcW w:w="1168" w:type="dxa"/>
            <w:tcBorders>
              <w:top w:val="double" w:sz="6" w:space="0" w:color="auto"/>
              <w:left w:val="double" w:sz="6" w:space="0" w:color="auto"/>
              <w:bottom w:val="nil"/>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2016</w:t>
            </w:r>
          </w:p>
        </w:tc>
        <w:tc>
          <w:tcPr>
            <w:tcW w:w="818"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2291</w:t>
            </w:r>
          </w:p>
        </w:tc>
        <w:tc>
          <w:tcPr>
            <w:tcW w:w="1182"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1082</w:t>
            </w:r>
          </w:p>
        </w:tc>
        <w:tc>
          <w:tcPr>
            <w:tcW w:w="1152"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341</w:t>
            </w:r>
          </w:p>
        </w:tc>
        <w:tc>
          <w:tcPr>
            <w:tcW w:w="1080"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1486</w:t>
            </w:r>
          </w:p>
        </w:tc>
        <w:tc>
          <w:tcPr>
            <w:tcW w:w="925"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290</w:t>
            </w:r>
          </w:p>
        </w:tc>
        <w:tc>
          <w:tcPr>
            <w:tcW w:w="1115"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464</w:t>
            </w:r>
          </w:p>
        </w:tc>
        <w:tc>
          <w:tcPr>
            <w:tcW w:w="1065" w:type="dxa"/>
            <w:tcBorders>
              <w:top w:val="double" w:sz="6" w:space="0" w:color="auto"/>
              <w:left w:val="single" w:sz="4" w:space="0" w:color="auto"/>
              <w:bottom w:val="nil"/>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128</w:t>
            </w:r>
          </w:p>
        </w:tc>
        <w:tc>
          <w:tcPr>
            <w:tcW w:w="1134" w:type="dxa"/>
            <w:tcBorders>
              <w:top w:val="double" w:sz="6" w:space="0" w:color="auto"/>
              <w:left w:val="single" w:sz="4" w:space="0" w:color="auto"/>
              <w:bottom w:val="nil"/>
              <w:right w:val="double" w:sz="6"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3877</w:t>
            </w:r>
          </w:p>
        </w:tc>
      </w:tr>
      <w:tr w:rsidR="007C50D0" w:rsidRPr="007C50D0" w:rsidTr="007C50D0">
        <w:trPr>
          <w:trHeight w:val="72"/>
        </w:trPr>
        <w:tc>
          <w:tcPr>
            <w:tcW w:w="1168" w:type="dxa"/>
            <w:tcBorders>
              <w:top w:val="nil"/>
              <w:left w:val="double" w:sz="6"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w:t>
            </w:r>
          </w:p>
        </w:tc>
        <w:tc>
          <w:tcPr>
            <w:tcW w:w="818"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22,6</w:t>
            </w:r>
          </w:p>
        </w:tc>
        <w:tc>
          <w:tcPr>
            <w:tcW w:w="1182"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10,7</w:t>
            </w:r>
          </w:p>
        </w:tc>
        <w:tc>
          <w:tcPr>
            <w:tcW w:w="1152"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3,4</w:t>
            </w:r>
          </w:p>
        </w:tc>
        <w:tc>
          <w:tcPr>
            <w:tcW w:w="1080"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14,7</w:t>
            </w:r>
          </w:p>
        </w:tc>
        <w:tc>
          <w:tcPr>
            <w:tcW w:w="925"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2,9</w:t>
            </w:r>
          </w:p>
        </w:tc>
        <w:tc>
          <w:tcPr>
            <w:tcW w:w="1115"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4,6</w:t>
            </w:r>
          </w:p>
        </w:tc>
        <w:tc>
          <w:tcPr>
            <w:tcW w:w="1065" w:type="dxa"/>
            <w:tcBorders>
              <w:top w:val="nil"/>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1,3</w:t>
            </w:r>
          </w:p>
        </w:tc>
        <w:tc>
          <w:tcPr>
            <w:tcW w:w="1134" w:type="dxa"/>
            <w:tcBorders>
              <w:top w:val="nil"/>
              <w:left w:val="single" w:sz="4" w:space="0" w:color="auto"/>
              <w:bottom w:val="double" w:sz="6" w:space="0" w:color="auto"/>
              <w:right w:val="double" w:sz="6"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38,2</w:t>
            </w:r>
          </w:p>
        </w:tc>
      </w:tr>
      <w:tr w:rsidR="007C50D0" w:rsidRPr="007C50D0" w:rsidTr="007C50D0">
        <w:trPr>
          <w:trHeight w:val="27"/>
        </w:trPr>
        <w:tc>
          <w:tcPr>
            <w:tcW w:w="1168" w:type="dxa"/>
            <w:tcBorders>
              <w:top w:val="double" w:sz="6" w:space="0" w:color="auto"/>
              <w:left w:val="double" w:sz="6" w:space="0" w:color="auto"/>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2017</w:t>
            </w:r>
          </w:p>
        </w:tc>
        <w:tc>
          <w:tcPr>
            <w:tcW w:w="818" w:type="dxa"/>
            <w:tcBorders>
              <w:top w:val="double" w:sz="6"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1734</w:t>
            </w:r>
          </w:p>
        </w:tc>
        <w:tc>
          <w:tcPr>
            <w:tcW w:w="1182" w:type="dxa"/>
            <w:tcBorders>
              <w:top w:val="double" w:sz="6"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249</w:t>
            </w:r>
          </w:p>
        </w:tc>
        <w:tc>
          <w:tcPr>
            <w:tcW w:w="1152" w:type="dxa"/>
            <w:tcBorders>
              <w:top w:val="double" w:sz="6"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353</w:t>
            </w:r>
          </w:p>
        </w:tc>
        <w:tc>
          <w:tcPr>
            <w:tcW w:w="1080" w:type="dxa"/>
            <w:tcBorders>
              <w:top w:val="double" w:sz="6"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1400</w:t>
            </w:r>
          </w:p>
        </w:tc>
        <w:tc>
          <w:tcPr>
            <w:tcW w:w="925" w:type="dxa"/>
            <w:tcBorders>
              <w:top w:val="double" w:sz="6"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308</w:t>
            </w:r>
          </w:p>
        </w:tc>
        <w:tc>
          <w:tcPr>
            <w:tcW w:w="1115" w:type="dxa"/>
            <w:tcBorders>
              <w:top w:val="double" w:sz="6"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457</w:t>
            </w:r>
          </w:p>
        </w:tc>
        <w:tc>
          <w:tcPr>
            <w:tcW w:w="1065" w:type="dxa"/>
            <w:tcBorders>
              <w:top w:val="double" w:sz="6" w:space="0" w:color="auto"/>
              <w:left w:val="single" w:sz="4"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119</w:t>
            </w:r>
          </w:p>
        </w:tc>
        <w:tc>
          <w:tcPr>
            <w:tcW w:w="1134" w:type="dxa"/>
            <w:tcBorders>
              <w:top w:val="double" w:sz="6" w:space="0" w:color="auto"/>
              <w:left w:val="single" w:sz="4" w:space="0" w:color="auto"/>
              <w:right w:val="double" w:sz="6" w:space="0" w:color="auto"/>
            </w:tcBorders>
            <w:shd w:val="clear" w:color="auto" w:fill="FFFFFF"/>
            <w:vAlign w:val="center"/>
          </w:tcPr>
          <w:p w:rsidR="007C50D0" w:rsidRPr="007C50D0" w:rsidRDefault="007C50D0" w:rsidP="008619A6">
            <w:pPr>
              <w:contextualSpacing/>
              <w:jc w:val="center"/>
              <w:rPr>
                <w:b/>
                <w:i/>
                <w:sz w:val="24"/>
                <w:szCs w:val="24"/>
              </w:rPr>
            </w:pPr>
            <w:r w:rsidRPr="007C50D0">
              <w:rPr>
                <w:b/>
                <w:i/>
                <w:sz w:val="24"/>
                <w:szCs w:val="24"/>
              </w:rPr>
              <w:t>4337</w:t>
            </w:r>
          </w:p>
        </w:tc>
      </w:tr>
      <w:tr w:rsidR="007C50D0" w:rsidRPr="007C50D0" w:rsidTr="007C50D0">
        <w:trPr>
          <w:trHeight w:val="72"/>
        </w:trPr>
        <w:tc>
          <w:tcPr>
            <w:tcW w:w="1168" w:type="dxa"/>
            <w:tcBorders>
              <w:left w:val="double" w:sz="6"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w:t>
            </w:r>
          </w:p>
        </w:tc>
        <w:tc>
          <w:tcPr>
            <w:tcW w:w="818" w:type="dxa"/>
            <w:tcBorders>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18,3</w:t>
            </w:r>
          </w:p>
        </w:tc>
        <w:tc>
          <w:tcPr>
            <w:tcW w:w="1182" w:type="dxa"/>
            <w:tcBorders>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2,6</w:t>
            </w:r>
          </w:p>
        </w:tc>
        <w:tc>
          <w:tcPr>
            <w:tcW w:w="1152" w:type="dxa"/>
            <w:tcBorders>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3,7</w:t>
            </w:r>
          </w:p>
        </w:tc>
        <w:tc>
          <w:tcPr>
            <w:tcW w:w="1080" w:type="dxa"/>
            <w:tcBorders>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14,8</w:t>
            </w:r>
          </w:p>
        </w:tc>
        <w:tc>
          <w:tcPr>
            <w:tcW w:w="925" w:type="dxa"/>
            <w:tcBorders>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3,2</w:t>
            </w:r>
          </w:p>
        </w:tc>
        <w:tc>
          <w:tcPr>
            <w:tcW w:w="1115" w:type="dxa"/>
            <w:tcBorders>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4,8</w:t>
            </w:r>
          </w:p>
        </w:tc>
        <w:tc>
          <w:tcPr>
            <w:tcW w:w="1065" w:type="dxa"/>
            <w:tcBorders>
              <w:left w:val="single" w:sz="4" w:space="0" w:color="auto"/>
              <w:bottom w:val="double" w:sz="6" w:space="0" w:color="auto"/>
              <w:right w:val="single" w:sz="4"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1,3</w:t>
            </w:r>
          </w:p>
        </w:tc>
        <w:tc>
          <w:tcPr>
            <w:tcW w:w="1134" w:type="dxa"/>
            <w:tcBorders>
              <w:left w:val="single" w:sz="4" w:space="0" w:color="auto"/>
              <w:bottom w:val="double" w:sz="6" w:space="0" w:color="auto"/>
              <w:right w:val="double" w:sz="6" w:space="0" w:color="auto"/>
            </w:tcBorders>
            <w:shd w:val="clear" w:color="auto" w:fill="FFFFFF"/>
            <w:vAlign w:val="center"/>
          </w:tcPr>
          <w:p w:rsidR="007C50D0" w:rsidRPr="007C50D0" w:rsidRDefault="007C50D0" w:rsidP="008619A6">
            <w:pPr>
              <w:contextualSpacing/>
              <w:jc w:val="center"/>
              <w:rPr>
                <w:b/>
                <w:i/>
                <w:sz w:val="24"/>
                <w:szCs w:val="24"/>
              </w:rPr>
            </w:pPr>
            <w:r w:rsidRPr="007C50D0">
              <w:rPr>
                <w:i/>
                <w:sz w:val="24"/>
                <w:szCs w:val="24"/>
              </w:rPr>
              <w:t>45,7</w:t>
            </w:r>
          </w:p>
        </w:tc>
      </w:tr>
    </w:tbl>
    <w:p w:rsidR="007C50D0" w:rsidRPr="007C50D0" w:rsidRDefault="007C50D0" w:rsidP="008619A6">
      <w:pPr>
        <w:ind w:firstLine="851"/>
        <w:contextualSpacing/>
        <w:jc w:val="both"/>
        <w:rPr>
          <w:sz w:val="28"/>
          <w:szCs w:val="28"/>
        </w:rPr>
      </w:pPr>
      <w:r w:rsidRPr="007C50D0">
        <w:rPr>
          <w:sz w:val="28"/>
          <w:szCs w:val="28"/>
        </w:rPr>
        <w:t>Наиболее часто уголовные дела, возбужденные по статьям 158, 263-271.1 УК РФ, рассматривались мировыми судьями в следующих городах и районах Республики Татарстан (см. Таблицу 29).</w:t>
      </w:r>
    </w:p>
    <w:p w:rsidR="007C50D0" w:rsidRPr="007C50D0" w:rsidRDefault="007C50D0" w:rsidP="008619A6">
      <w:pPr>
        <w:ind w:left="600" w:firstLine="900"/>
        <w:contextualSpacing/>
        <w:jc w:val="center"/>
        <w:rPr>
          <w:sz w:val="28"/>
          <w:szCs w:val="28"/>
        </w:rPr>
      </w:pPr>
      <w:r w:rsidRPr="007C50D0">
        <w:rPr>
          <w:sz w:val="24"/>
          <w:szCs w:val="24"/>
        </w:rPr>
        <w:t xml:space="preserve">                                                                                                            Таблица </w:t>
      </w:r>
      <w:r w:rsidR="00E45BEB">
        <w:rPr>
          <w:sz w:val="24"/>
          <w:szCs w:val="24"/>
        </w:rPr>
        <w:t>40</w:t>
      </w:r>
    </w:p>
    <w:tbl>
      <w:tblPr>
        <w:tblW w:w="9331" w:type="dxa"/>
        <w:tblInd w:w="108" w:type="dxa"/>
        <w:tblLayout w:type="fixed"/>
        <w:tblLook w:val="0000" w:firstRow="0" w:lastRow="0" w:firstColumn="0" w:lastColumn="0" w:noHBand="0" w:noVBand="0"/>
      </w:tblPr>
      <w:tblGrid>
        <w:gridCol w:w="993"/>
        <w:gridCol w:w="2551"/>
        <w:gridCol w:w="1560"/>
        <w:gridCol w:w="2409"/>
        <w:gridCol w:w="1818"/>
      </w:tblGrid>
      <w:tr w:rsidR="007C50D0" w:rsidRPr="007C50D0" w:rsidTr="00E45BEB">
        <w:trPr>
          <w:trHeight w:val="275"/>
        </w:trPr>
        <w:tc>
          <w:tcPr>
            <w:tcW w:w="993" w:type="dxa"/>
            <w:tcBorders>
              <w:top w:val="double" w:sz="6" w:space="0" w:color="auto"/>
              <w:left w:val="double" w:sz="6" w:space="0" w:color="auto"/>
              <w:bottom w:val="thickThinLargeGap" w:sz="24" w:space="0" w:color="auto"/>
              <w:right w:val="single" w:sz="4" w:space="0" w:color="auto"/>
            </w:tcBorders>
            <w:shd w:val="clear" w:color="auto" w:fill="auto"/>
            <w:noWrap/>
            <w:vAlign w:val="bottom"/>
          </w:tcPr>
          <w:p w:rsidR="007C50D0" w:rsidRPr="007C50D0" w:rsidRDefault="007C50D0" w:rsidP="008619A6">
            <w:pPr>
              <w:contextualSpacing/>
              <w:jc w:val="center"/>
              <w:rPr>
                <w:b/>
                <w:sz w:val="24"/>
                <w:szCs w:val="24"/>
              </w:rPr>
            </w:pPr>
          </w:p>
        </w:tc>
        <w:tc>
          <w:tcPr>
            <w:tcW w:w="2551" w:type="dxa"/>
            <w:tcBorders>
              <w:top w:val="double" w:sz="6" w:space="0" w:color="auto"/>
              <w:left w:val="nil"/>
              <w:bottom w:val="thickThinLargeGap" w:sz="24" w:space="0" w:color="auto"/>
              <w:right w:val="single" w:sz="4" w:space="0" w:color="auto"/>
            </w:tcBorders>
            <w:shd w:val="clear" w:color="auto" w:fill="FFFFFF"/>
          </w:tcPr>
          <w:p w:rsidR="007C50D0" w:rsidRPr="007C50D0" w:rsidRDefault="007C50D0" w:rsidP="008619A6">
            <w:pPr>
              <w:contextualSpacing/>
              <w:jc w:val="center"/>
              <w:rPr>
                <w:b/>
                <w:color w:val="000000"/>
                <w:sz w:val="24"/>
                <w:szCs w:val="24"/>
              </w:rPr>
            </w:pPr>
            <w:r w:rsidRPr="007C50D0">
              <w:rPr>
                <w:b/>
                <w:color w:val="000000"/>
                <w:sz w:val="24"/>
                <w:szCs w:val="24"/>
              </w:rPr>
              <w:t>Наименование суда</w:t>
            </w:r>
          </w:p>
        </w:tc>
        <w:tc>
          <w:tcPr>
            <w:tcW w:w="1560" w:type="dxa"/>
            <w:tcBorders>
              <w:top w:val="double" w:sz="6" w:space="0" w:color="auto"/>
              <w:left w:val="nil"/>
              <w:bottom w:val="thickThinLargeGap" w:sz="24" w:space="0" w:color="auto"/>
              <w:right w:val="single" w:sz="4" w:space="0" w:color="auto"/>
            </w:tcBorders>
            <w:shd w:val="clear" w:color="auto" w:fill="FFFFFF"/>
            <w:noWrap/>
          </w:tcPr>
          <w:p w:rsidR="007C50D0" w:rsidRPr="007C50D0" w:rsidRDefault="007C50D0" w:rsidP="008619A6">
            <w:pPr>
              <w:contextualSpacing/>
              <w:jc w:val="center"/>
              <w:rPr>
                <w:b/>
                <w:bCs/>
                <w:sz w:val="24"/>
                <w:szCs w:val="24"/>
              </w:rPr>
            </w:pPr>
            <w:r w:rsidRPr="007C50D0">
              <w:rPr>
                <w:b/>
                <w:bCs/>
                <w:sz w:val="24"/>
                <w:szCs w:val="24"/>
              </w:rPr>
              <w:t>ст.158</w:t>
            </w:r>
          </w:p>
        </w:tc>
        <w:tc>
          <w:tcPr>
            <w:tcW w:w="2409" w:type="dxa"/>
            <w:tcBorders>
              <w:top w:val="double" w:sz="6" w:space="0" w:color="auto"/>
              <w:left w:val="nil"/>
              <w:bottom w:val="thickThinLargeGap" w:sz="24" w:space="0" w:color="auto"/>
              <w:right w:val="single" w:sz="4" w:space="0" w:color="auto"/>
            </w:tcBorders>
            <w:shd w:val="clear" w:color="auto" w:fill="FFFFFF"/>
            <w:noWrap/>
            <w:vAlign w:val="bottom"/>
          </w:tcPr>
          <w:p w:rsidR="007C50D0" w:rsidRPr="007C50D0" w:rsidRDefault="007C50D0" w:rsidP="008619A6">
            <w:pPr>
              <w:contextualSpacing/>
              <w:jc w:val="center"/>
              <w:rPr>
                <w:b/>
                <w:sz w:val="24"/>
                <w:szCs w:val="24"/>
              </w:rPr>
            </w:pPr>
            <w:r w:rsidRPr="007C50D0">
              <w:rPr>
                <w:b/>
                <w:sz w:val="24"/>
                <w:szCs w:val="24"/>
              </w:rPr>
              <w:t>Наименование суда</w:t>
            </w:r>
          </w:p>
        </w:tc>
        <w:tc>
          <w:tcPr>
            <w:tcW w:w="1818" w:type="dxa"/>
            <w:tcBorders>
              <w:top w:val="double" w:sz="6" w:space="0" w:color="auto"/>
              <w:left w:val="nil"/>
              <w:bottom w:val="thickThinLargeGap" w:sz="24" w:space="0" w:color="auto"/>
              <w:right w:val="double" w:sz="6" w:space="0" w:color="auto"/>
            </w:tcBorders>
            <w:shd w:val="clear" w:color="auto" w:fill="FFFFFF"/>
            <w:noWrap/>
          </w:tcPr>
          <w:p w:rsidR="007C50D0" w:rsidRPr="007C50D0" w:rsidRDefault="007C50D0" w:rsidP="008619A6">
            <w:pPr>
              <w:contextualSpacing/>
              <w:jc w:val="center"/>
              <w:rPr>
                <w:b/>
                <w:bCs/>
                <w:sz w:val="24"/>
                <w:szCs w:val="24"/>
              </w:rPr>
            </w:pPr>
            <w:r w:rsidRPr="007C50D0">
              <w:rPr>
                <w:b/>
                <w:bCs/>
                <w:sz w:val="24"/>
                <w:szCs w:val="24"/>
              </w:rPr>
              <w:t>ст.263-271.1</w:t>
            </w:r>
          </w:p>
        </w:tc>
      </w:tr>
      <w:tr w:rsidR="007C50D0" w:rsidRPr="007C50D0" w:rsidTr="00E45BEB">
        <w:trPr>
          <w:trHeight w:val="25"/>
        </w:trPr>
        <w:tc>
          <w:tcPr>
            <w:tcW w:w="993" w:type="dxa"/>
            <w:tcBorders>
              <w:top w:val="thickThinLargeGap" w:sz="24" w:space="0" w:color="auto"/>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1</w:t>
            </w:r>
          </w:p>
        </w:tc>
        <w:tc>
          <w:tcPr>
            <w:tcW w:w="2551" w:type="dxa"/>
            <w:tcBorders>
              <w:top w:val="thickThinLargeGap" w:sz="24" w:space="0" w:color="auto"/>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Набережные Челны</w:t>
            </w:r>
          </w:p>
        </w:tc>
        <w:tc>
          <w:tcPr>
            <w:tcW w:w="1560" w:type="dxa"/>
            <w:tcBorders>
              <w:top w:val="thickThinLargeGap" w:sz="24" w:space="0" w:color="auto"/>
              <w:left w:val="nil"/>
              <w:bottom w:val="single" w:sz="4" w:space="0" w:color="auto"/>
              <w:right w:val="single" w:sz="4"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246</w:t>
            </w:r>
          </w:p>
        </w:tc>
        <w:tc>
          <w:tcPr>
            <w:tcW w:w="2409" w:type="dxa"/>
            <w:tcBorders>
              <w:top w:val="thickThinLargeGap" w:sz="24" w:space="0" w:color="auto"/>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Набережные Челны</w:t>
            </w:r>
          </w:p>
        </w:tc>
        <w:tc>
          <w:tcPr>
            <w:tcW w:w="1818" w:type="dxa"/>
            <w:tcBorders>
              <w:top w:val="thickThinLargeGap" w:sz="24" w:space="0" w:color="auto"/>
              <w:left w:val="nil"/>
              <w:bottom w:val="single" w:sz="4" w:space="0" w:color="auto"/>
              <w:right w:val="double" w:sz="6"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188</w:t>
            </w:r>
          </w:p>
        </w:tc>
      </w:tr>
      <w:tr w:rsidR="007C50D0" w:rsidRPr="007C50D0" w:rsidTr="00E45BEB">
        <w:trPr>
          <w:trHeight w:val="62"/>
        </w:trPr>
        <w:tc>
          <w:tcPr>
            <w:tcW w:w="993"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2</w:t>
            </w:r>
          </w:p>
        </w:tc>
        <w:tc>
          <w:tcPr>
            <w:tcW w:w="2551"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Советский</w:t>
            </w:r>
          </w:p>
        </w:tc>
        <w:tc>
          <w:tcPr>
            <w:tcW w:w="1560" w:type="dxa"/>
            <w:tcBorders>
              <w:top w:val="nil"/>
              <w:left w:val="nil"/>
              <w:bottom w:val="single" w:sz="4" w:space="0" w:color="auto"/>
              <w:right w:val="single" w:sz="4"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116</w:t>
            </w:r>
          </w:p>
        </w:tc>
        <w:tc>
          <w:tcPr>
            <w:tcW w:w="2409"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Советский</w:t>
            </w:r>
          </w:p>
        </w:tc>
        <w:tc>
          <w:tcPr>
            <w:tcW w:w="1818" w:type="dxa"/>
            <w:tcBorders>
              <w:top w:val="nil"/>
              <w:left w:val="nil"/>
              <w:bottom w:val="single" w:sz="4" w:space="0" w:color="auto"/>
              <w:right w:val="double" w:sz="6"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115</w:t>
            </w:r>
          </w:p>
        </w:tc>
      </w:tr>
      <w:tr w:rsidR="007C50D0" w:rsidRPr="007C50D0" w:rsidTr="00E45BEB">
        <w:trPr>
          <w:trHeight w:val="62"/>
        </w:trPr>
        <w:tc>
          <w:tcPr>
            <w:tcW w:w="993"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3</w:t>
            </w:r>
          </w:p>
        </w:tc>
        <w:tc>
          <w:tcPr>
            <w:tcW w:w="2551"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Приволжский</w:t>
            </w:r>
          </w:p>
        </w:tc>
        <w:tc>
          <w:tcPr>
            <w:tcW w:w="1560" w:type="dxa"/>
            <w:tcBorders>
              <w:top w:val="nil"/>
              <w:left w:val="nil"/>
              <w:bottom w:val="single" w:sz="4" w:space="0" w:color="auto"/>
              <w:right w:val="single" w:sz="4"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114</w:t>
            </w:r>
          </w:p>
        </w:tc>
        <w:tc>
          <w:tcPr>
            <w:tcW w:w="2409"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Альметьевск</w:t>
            </w:r>
          </w:p>
        </w:tc>
        <w:tc>
          <w:tcPr>
            <w:tcW w:w="1818" w:type="dxa"/>
            <w:tcBorders>
              <w:top w:val="nil"/>
              <w:left w:val="nil"/>
              <w:bottom w:val="single" w:sz="4" w:space="0" w:color="auto"/>
              <w:right w:val="double" w:sz="6"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115</w:t>
            </w:r>
          </w:p>
        </w:tc>
      </w:tr>
      <w:tr w:rsidR="007C50D0" w:rsidRPr="007C50D0" w:rsidTr="00E45BEB">
        <w:trPr>
          <w:trHeight w:val="175"/>
        </w:trPr>
        <w:tc>
          <w:tcPr>
            <w:tcW w:w="993"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4</w:t>
            </w:r>
          </w:p>
        </w:tc>
        <w:tc>
          <w:tcPr>
            <w:tcW w:w="2551"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Альметьевск</w:t>
            </w:r>
          </w:p>
        </w:tc>
        <w:tc>
          <w:tcPr>
            <w:tcW w:w="1560" w:type="dxa"/>
            <w:tcBorders>
              <w:top w:val="nil"/>
              <w:left w:val="nil"/>
              <w:bottom w:val="single" w:sz="4" w:space="0" w:color="auto"/>
              <w:right w:val="single" w:sz="4"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83</w:t>
            </w:r>
          </w:p>
        </w:tc>
        <w:tc>
          <w:tcPr>
            <w:tcW w:w="2409"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Нижнекамск</w:t>
            </w:r>
          </w:p>
        </w:tc>
        <w:tc>
          <w:tcPr>
            <w:tcW w:w="1818" w:type="dxa"/>
            <w:tcBorders>
              <w:top w:val="nil"/>
              <w:left w:val="nil"/>
              <w:bottom w:val="single" w:sz="4" w:space="0" w:color="auto"/>
              <w:right w:val="double" w:sz="6"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112</w:t>
            </w:r>
          </w:p>
        </w:tc>
      </w:tr>
      <w:tr w:rsidR="007C50D0" w:rsidRPr="007C50D0" w:rsidTr="00E45BEB">
        <w:trPr>
          <w:trHeight w:val="62"/>
        </w:trPr>
        <w:tc>
          <w:tcPr>
            <w:tcW w:w="993"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5</w:t>
            </w:r>
          </w:p>
        </w:tc>
        <w:tc>
          <w:tcPr>
            <w:tcW w:w="2551"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Нижнекамск</w:t>
            </w:r>
          </w:p>
        </w:tc>
        <w:tc>
          <w:tcPr>
            <w:tcW w:w="1560" w:type="dxa"/>
            <w:tcBorders>
              <w:top w:val="nil"/>
              <w:left w:val="nil"/>
              <w:bottom w:val="single" w:sz="4" w:space="0" w:color="auto"/>
              <w:right w:val="single" w:sz="4"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72</w:t>
            </w:r>
          </w:p>
        </w:tc>
        <w:tc>
          <w:tcPr>
            <w:tcW w:w="2409"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Приволжский</w:t>
            </w:r>
          </w:p>
        </w:tc>
        <w:tc>
          <w:tcPr>
            <w:tcW w:w="1818" w:type="dxa"/>
            <w:tcBorders>
              <w:top w:val="nil"/>
              <w:left w:val="nil"/>
              <w:bottom w:val="single" w:sz="4" w:space="0" w:color="auto"/>
              <w:right w:val="double" w:sz="6"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103</w:t>
            </w:r>
          </w:p>
        </w:tc>
      </w:tr>
      <w:tr w:rsidR="007C50D0" w:rsidRPr="007C50D0" w:rsidTr="00E45BEB">
        <w:trPr>
          <w:trHeight w:val="62"/>
        </w:trPr>
        <w:tc>
          <w:tcPr>
            <w:tcW w:w="993"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6</w:t>
            </w:r>
          </w:p>
        </w:tc>
        <w:tc>
          <w:tcPr>
            <w:tcW w:w="2551"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Ново-Савиновский</w:t>
            </w:r>
          </w:p>
        </w:tc>
        <w:tc>
          <w:tcPr>
            <w:tcW w:w="1560" w:type="dxa"/>
            <w:tcBorders>
              <w:top w:val="nil"/>
              <w:left w:val="nil"/>
              <w:bottom w:val="single" w:sz="4" w:space="0" w:color="auto"/>
              <w:right w:val="single" w:sz="4"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67</w:t>
            </w:r>
          </w:p>
        </w:tc>
        <w:tc>
          <w:tcPr>
            <w:tcW w:w="2409"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Ново-Савиновский</w:t>
            </w:r>
          </w:p>
        </w:tc>
        <w:tc>
          <w:tcPr>
            <w:tcW w:w="1818" w:type="dxa"/>
            <w:tcBorders>
              <w:top w:val="nil"/>
              <w:left w:val="nil"/>
              <w:bottom w:val="single" w:sz="4" w:space="0" w:color="auto"/>
              <w:right w:val="double" w:sz="6"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95</w:t>
            </w:r>
          </w:p>
        </w:tc>
      </w:tr>
      <w:tr w:rsidR="007C50D0" w:rsidRPr="007C50D0" w:rsidTr="00E45BEB">
        <w:trPr>
          <w:trHeight w:val="62"/>
        </w:trPr>
        <w:tc>
          <w:tcPr>
            <w:tcW w:w="993"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7</w:t>
            </w:r>
          </w:p>
        </w:tc>
        <w:tc>
          <w:tcPr>
            <w:tcW w:w="2551"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Зеленодольск</w:t>
            </w:r>
          </w:p>
        </w:tc>
        <w:tc>
          <w:tcPr>
            <w:tcW w:w="1560" w:type="dxa"/>
            <w:tcBorders>
              <w:top w:val="nil"/>
              <w:left w:val="nil"/>
              <w:bottom w:val="single" w:sz="4" w:space="0" w:color="auto"/>
              <w:right w:val="single" w:sz="4"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67</w:t>
            </w:r>
          </w:p>
        </w:tc>
        <w:tc>
          <w:tcPr>
            <w:tcW w:w="2409"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Зеленодольск</w:t>
            </w:r>
          </w:p>
        </w:tc>
        <w:tc>
          <w:tcPr>
            <w:tcW w:w="1818" w:type="dxa"/>
            <w:tcBorders>
              <w:top w:val="nil"/>
              <w:left w:val="nil"/>
              <w:bottom w:val="single" w:sz="4" w:space="0" w:color="auto"/>
              <w:right w:val="double" w:sz="6"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85</w:t>
            </w:r>
          </w:p>
        </w:tc>
      </w:tr>
      <w:tr w:rsidR="007C50D0" w:rsidRPr="007C50D0" w:rsidTr="00E45BEB">
        <w:trPr>
          <w:trHeight w:val="62"/>
        </w:trPr>
        <w:tc>
          <w:tcPr>
            <w:tcW w:w="993"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8</w:t>
            </w:r>
          </w:p>
        </w:tc>
        <w:tc>
          <w:tcPr>
            <w:tcW w:w="2551"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proofErr w:type="spellStart"/>
            <w:r w:rsidRPr="007C50D0">
              <w:rPr>
                <w:sz w:val="24"/>
                <w:szCs w:val="24"/>
              </w:rPr>
              <w:t>Вахитовский</w:t>
            </w:r>
            <w:proofErr w:type="spellEnd"/>
          </w:p>
        </w:tc>
        <w:tc>
          <w:tcPr>
            <w:tcW w:w="1560" w:type="dxa"/>
            <w:tcBorders>
              <w:top w:val="nil"/>
              <w:left w:val="nil"/>
              <w:bottom w:val="single" w:sz="4" w:space="0" w:color="auto"/>
              <w:right w:val="single" w:sz="4"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62</w:t>
            </w:r>
          </w:p>
        </w:tc>
        <w:tc>
          <w:tcPr>
            <w:tcW w:w="2409"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proofErr w:type="spellStart"/>
            <w:r w:rsidRPr="007C50D0">
              <w:rPr>
                <w:sz w:val="24"/>
                <w:szCs w:val="24"/>
              </w:rPr>
              <w:t>Вахитовский</w:t>
            </w:r>
            <w:proofErr w:type="spellEnd"/>
          </w:p>
        </w:tc>
        <w:tc>
          <w:tcPr>
            <w:tcW w:w="1818" w:type="dxa"/>
            <w:tcBorders>
              <w:top w:val="nil"/>
              <w:left w:val="nil"/>
              <w:bottom w:val="single" w:sz="4" w:space="0" w:color="auto"/>
              <w:right w:val="double" w:sz="6"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65</w:t>
            </w:r>
          </w:p>
        </w:tc>
      </w:tr>
      <w:tr w:rsidR="007C50D0" w:rsidRPr="007C50D0" w:rsidTr="00E45BEB">
        <w:trPr>
          <w:trHeight w:val="62"/>
        </w:trPr>
        <w:tc>
          <w:tcPr>
            <w:tcW w:w="993"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9</w:t>
            </w:r>
          </w:p>
        </w:tc>
        <w:tc>
          <w:tcPr>
            <w:tcW w:w="2551"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Московский</w:t>
            </w:r>
          </w:p>
        </w:tc>
        <w:tc>
          <w:tcPr>
            <w:tcW w:w="1560" w:type="dxa"/>
            <w:tcBorders>
              <w:top w:val="nil"/>
              <w:left w:val="nil"/>
              <w:bottom w:val="single" w:sz="4" w:space="0" w:color="auto"/>
              <w:right w:val="single" w:sz="4"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51</w:t>
            </w:r>
          </w:p>
        </w:tc>
        <w:tc>
          <w:tcPr>
            <w:tcW w:w="2409"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Московский</w:t>
            </w:r>
          </w:p>
        </w:tc>
        <w:tc>
          <w:tcPr>
            <w:tcW w:w="1818" w:type="dxa"/>
            <w:tcBorders>
              <w:top w:val="nil"/>
              <w:left w:val="nil"/>
              <w:bottom w:val="single" w:sz="4" w:space="0" w:color="auto"/>
              <w:right w:val="double" w:sz="6"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65</w:t>
            </w:r>
          </w:p>
        </w:tc>
      </w:tr>
      <w:tr w:rsidR="007C50D0" w:rsidRPr="007C50D0" w:rsidTr="00E45BEB">
        <w:trPr>
          <w:trHeight w:val="62"/>
        </w:trPr>
        <w:tc>
          <w:tcPr>
            <w:tcW w:w="993" w:type="dxa"/>
            <w:tcBorders>
              <w:top w:val="nil"/>
              <w:left w:val="double" w:sz="6" w:space="0" w:color="auto"/>
              <w:bottom w:val="double" w:sz="6"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10</w:t>
            </w:r>
          </w:p>
        </w:tc>
        <w:tc>
          <w:tcPr>
            <w:tcW w:w="2551" w:type="dxa"/>
            <w:tcBorders>
              <w:top w:val="nil"/>
              <w:left w:val="nil"/>
              <w:bottom w:val="double" w:sz="6"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Чистополь</w:t>
            </w:r>
          </w:p>
        </w:tc>
        <w:tc>
          <w:tcPr>
            <w:tcW w:w="1560" w:type="dxa"/>
            <w:tcBorders>
              <w:top w:val="nil"/>
              <w:left w:val="nil"/>
              <w:bottom w:val="double" w:sz="6" w:space="0" w:color="auto"/>
              <w:right w:val="single" w:sz="4"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45</w:t>
            </w:r>
          </w:p>
        </w:tc>
        <w:tc>
          <w:tcPr>
            <w:tcW w:w="2409" w:type="dxa"/>
            <w:tcBorders>
              <w:top w:val="nil"/>
              <w:left w:val="nil"/>
              <w:bottom w:val="double" w:sz="6" w:space="0" w:color="auto"/>
              <w:right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Кировский</w:t>
            </w:r>
          </w:p>
        </w:tc>
        <w:tc>
          <w:tcPr>
            <w:tcW w:w="1818" w:type="dxa"/>
            <w:tcBorders>
              <w:top w:val="nil"/>
              <w:left w:val="nil"/>
              <w:bottom w:val="double" w:sz="6" w:space="0" w:color="auto"/>
              <w:right w:val="double" w:sz="6" w:space="0" w:color="auto"/>
            </w:tcBorders>
            <w:shd w:val="clear" w:color="auto" w:fill="FFFFFF"/>
            <w:noWrap/>
            <w:vAlign w:val="center"/>
          </w:tcPr>
          <w:p w:rsidR="007C50D0" w:rsidRPr="007C50D0" w:rsidRDefault="007C50D0" w:rsidP="008619A6">
            <w:pPr>
              <w:contextualSpacing/>
              <w:jc w:val="center"/>
              <w:rPr>
                <w:b/>
                <w:i/>
                <w:sz w:val="24"/>
                <w:szCs w:val="24"/>
              </w:rPr>
            </w:pPr>
            <w:r w:rsidRPr="007C50D0">
              <w:rPr>
                <w:b/>
                <w:i/>
                <w:sz w:val="24"/>
                <w:szCs w:val="24"/>
              </w:rPr>
              <w:t>56</w:t>
            </w:r>
          </w:p>
        </w:tc>
      </w:tr>
    </w:tbl>
    <w:p w:rsidR="007C50D0" w:rsidRPr="007C50D0" w:rsidRDefault="007C50D0" w:rsidP="008619A6">
      <w:pPr>
        <w:ind w:firstLine="851"/>
        <w:contextualSpacing/>
        <w:jc w:val="both"/>
        <w:rPr>
          <w:sz w:val="28"/>
          <w:szCs w:val="28"/>
        </w:rPr>
      </w:pPr>
      <w:r w:rsidRPr="007C50D0">
        <w:rPr>
          <w:sz w:val="28"/>
          <w:szCs w:val="28"/>
        </w:rPr>
        <w:t xml:space="preserve">Результаты рассмотрения уголовных дел характеризуются следующими показателями. 97,5% оконченных дел рассмотрено по существу, что практически соответствует уровню 2016 года. Среди них доля дел, рассмотренных с вынесением приговора, в 2017 году составила 69,6% (6434 дела). Это на 3,7% выше значения данного показателя в прошлом отчетном периоде. При этом 66,7%  подсудимым (6438 лиц) был вынесен обвинительный приговор, что несколько выше уровня 2016 года. Количество </w:t>
      </w:r>
      <w:r w:rsidRPr="007C50D0">
        <w:rPr>
          <w:sz w:val="28"/>
          <w:szCs w:val="28"/>
        </w:rPr>
        <w:lastRenderedPageBreak/>
        <w:t>оправданных подсудимых незначительно (35 лица). Их удельный вес в общем количестве подсудимых в 2017 году составил 0,4% (2016 год – 0,7 %).</w:t>
      </w:r>
    </w:p>
    <w:p w:rsidR="007C50D0" w:rsidRPr="007C50D0" w:rsidRDefault="007C50D0" w:rsidP="008619A6">
      <w:pPr>
        <w:ind w:firstLine="851"/>
        <w:contextualSpacing/>
        <w:jc w:val="both"/>
        <w:rPr>
          <w:sz w:val="28"/>
          <w:szCs w:val="28"/>
        </w:rPr>
      </w:pPr>
      <w:r w:rsidRPr="007C50D0">
        <w:rPr>
          <w:sz w:val="28"/>
          <w:szCs w:val="28"/>
        </w:rPr>
        <w:t xml:space="preserve">Доля уголовных дел, рассмотрение которых закончилось прекращением, составила 29,8%, что соответствует уровню прошлого года. Количество лиц, в отношении которых дела были прекращены, в абсолютном исчислении уменьшилось на 14,2% и составило 2791 лицо. Из  них в отношении 49 лиц дела прекращены по реабилитирующим основаниям (отсутствие события, состава преступления, непричастность к преступлению). Доля подсудимых, в отношении которых дела прекращены в связи с примирением сторон, составляет 80,6%. </w:t>
      </w:r>
    </w:p>
    <w:p w:rsidR="007C50D0" w:rsidRPr="007C50D0" w:rsidRDefault="007C50D0" w:rsidP="008619A6">
      <w:pPr>
        <w:ind w:firstLine="851"/>
        <w:contextualSpacing/>
        <w:jc w:val="both"/>
        <w:rPr>
          <w:sz w:val="28"/>
          <w:szCs w:val="28"/>
        </w:rPr>
      </w:pPr>
      <w:r w:rsidRPr="007C50D0">
        <w:rPr>
          <w:sz w:val="28"/>
          <w:szCs w:val="28"/>
        </w:rPr>
        <w:t>Для устранения недостатков, препятствующих рассмотрению дела судом, 35 уголовных дел было возвращено прокурору. Это 0,4% от числа поступивших дел.</w:t>
      </w:r>
    </w:p>
    <w:p w:rsidR="007C50D0" w:rsidRPr="007C50D0" w:rsidRDefault="007C50D0" w:rsidP="008619A6">
      <w:pPr>
        <w:ind w:firstLine="851"/>
        <w:contextualSpacing/>
        <w:jc w:val="both"/>
        <w:rPr>
          <w:sz w:val="28"/>
          <w:szCs w:val="28"/>
        </w:rPr>
      </w:pPr>
      <w:r w:rsidRPr="007C50D0">
        <w:rPr>
          <w:sz w:val="28"/>
          <w:szCs w:val="28"/>
        </w:rPr>
        <w:t>59 дел рассмотрено с применением принудительных мер медицинского характера, что на 20,3% ниже уровня прошлого отчетного периода.</w:t>
      </w:r>
    </w:p>
    <w:p w:rsidR="007C50D0" w:rsidRPr="007C50D0" w:rsidRDefault="007C50D0" w:rsidP="008619A6">
      <w:pPr>
        <w:ind w:firstLine="851"/>
        <w:contextualSpacing/>
        <w:jc w:val="both"/>
        <w:rPr>
          <w:sz w:val="28"/>
          <w:szCs w:val="28"/>
        </w:rPr>
      </w:pPr>
      <w:r w:rsidRPr="007C50D0">
        <w:rPr>
          <w:sz w:val="28"/>
          <w:szCs w:val="28"/>
        </w:rPr>
        <w:t>Судебная практика назначения наказаний мировыми судьями в 2017 году характеризуется показателями, представленными в Таблице 30.</w:t>
      </w:r>
    </w:p>
    <w:p w:rsidR="007C50D0" w:rsidRPr="007C50D0" w:rsidRDefault="007C50D0" w:rsidP="008619A6">
      <w:pPr>
        <w:ind w:firstLine="851"/>
        <w:contextualSpacing/>
        <w:jc w:val="both"/>
        <w:rPr>
          <w:sz w:val="28"/>
          <w:szCs w:val="28"/>
        </w:rPr>
      </w:pPr>
      <w:r w:rsidRPr="007C50D0">
        <w:rPr>
          <w:sz w:val="28"/>
          <w:szCs w:val="28"/>
        </w:rPr>
        <w:t>Чаще всего подсудимые приговаривались к штрафу (17,7%), обязательным (37,4%) и исправительным (16,9%) работам. С 2015 года наблюдается увеличение количества лиц, осужденных к обязательным работам, в 1,7 раза. Продолжает постепенно увеличиваться и количество лиц, приговоренных к реальному лишению свободы. По отношению к 2015 году этот показатель увеличился в 1,4 раза.</w:t>
      </w:r>
    </w:p>
    <w:p w:rsidR="007C50D0" w:rsidRPr="007C50D0" w:rsidRDefault="007C50D0" w:rsidP="008619A6">
      <w:pPr>
        <w:ind w:firstLine="840"/>
        <w:contextualSpacing/>
        <w:jc w:val="both"/>
        <w:rPr>
          <w:sz w:val="28"/>
          <w:szCs w:val="28"/>
        </w:rPr>
      </w:pPr>
      <w:r w:rsidRPr="007C50D0">
        <w:rPr>
          <w:sz w:val="28"/>
          <w:szCs w:val="28"/>
        </w:rPr>
        <w:t>Применение таких мер наказания как штраф и исправительные работы, напротив, снижается, в частности по сравнению с 2015 годом в 1,3 и 1,1 раза соответственно. Мера наказания как лишение права занимать определенные должности или заниматься определенной должностью занимает незначительную долю. Данные Таблицы 30 также отражают динамику изменения указанных показателей за последние три года.</w:t>
      </w:r>
    </w:p>
    <w:p w:rsidR="007C50D0" w:rsidRPr="007C50D0" w:rsidRDefault="007C50D0" w:rsidP="008619A6">
      <w:pPr>
        <w:ind w:firstLine="900"/>
        <w:contextualSpacing/>
        <w:jc w:val="center"/>
        <w:rPr>
          <w:sz w:val="24"/>
          <w:szCs w:val="24"/>
        </w:rPr>
      </w:pPr>
      <w:r w:rsidRPr="007C50D0">
        <w:rPr>
          <w:sz w:val="24"/>
          <w:szCs w:val="24"/>
        </w:rPr>
        <w:t xml:space="preserve">                                                                                                  </w:t>
      </w:r>
      <w:r w:rsidR="00F8243A">
        <w:rPr>
          <w:sz w:val="24"/>
          <w:szCs w:val="24"/>
        </w:rPr>
        <w:t xml:space="preserve">                       Таблица 4</w:t>
      </w:r>
      <w:r w:rsidR="00E45BEB">
        <w:rPr>
          <w:sz w:val="24"/>
          <w:szCs w:val="24"/>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20"/>
        <w:gridCol w:w="1123"/>
        <w:gridCol w:w="1134"/>
        <w:gridCol w:w="1134"/>
        <w:gridCol w:w="1276"/>
        <w:gridCol w:w="1134"/>
        <w:gridCol w:w="1701"/>
        <w:gridCol w:w="1134"/>
      </w:tblGrid>
      <w:tr w:rsidR="007C50D0" w:rsidRPr="007C50D0" w:rsidTr="00E45BEB">
        <w:trPr>
          <w:trHeight w:val="1251"/>
        </w:trPr>
        <w:tc>
          <w:tcPr>
            <w:tcW w:w="720" w:type="dxa"/>
            <w:tcBorders>
              <w:top w:val="double" w:sz="4" w:space="0" w:color="auto"/>
              <w:left w:val="doub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p>
        </w:tc>
        <w:tc>
          <w:tcPr>
            <w:tcW w:w="1123" w:type="dxa"/>
            <w:tcBorders>
              <w:top w:val="doub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Условное осуждение</w:t>
            </w:r>
          </w:p>
        </w:tc>
        <w:tc>
          <w:tcPr>
            <w:tcW w:w="1134" w:type="dxa"/>
            <w:tcBorders>
              <w:top w:val="doub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Штраф</w:t>
            </w:r>
          </w:p>
        </w:tc>
        <w:tc>
          <w:tcPr>
            <w:tcW w:w="1134" w:type="dxa"/>
            <w:tcBorders>
              <w:top w:val="doub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Исправительные работы</w:t>
            </w:r>
          </w:p>
        </w:tc>
        <w:tc>
          <w:tcPr>
            <w:tcW w:w="1276" w:type="dxa"/>
            <w:tcBorders>
              <w:top w:val="doub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Лишение свободы на определенный срок</w:t>
            </w:r>
          </w:p>
        </w:tc>
        <w:tc>
          <w:tcPr>
            <w:tcW w:w="1134" w:type="dxa"/>
            <w:tcBorders>
              <w:top w:val="doub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Обязательные работы</w:t>
            </w:r>
          </w:p>
        </w:tc>
        <w:tc>
          <w:tcPr>
            <w:tcW w:w="1701" w:type="dxa"/>
            <w:tcBorders>
              <w:top w:val="doub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 xml:space="preserve">Лишение права занимать </w:t>
            </w:r>
            <w:proofErr w:type="spellStart"/>
            <w:r w:rsidRPr="007C50D0">
              <w:rPr>
                <w:b/>
                <w:sz w:val="24"/>
                <w:szCs w:val="24"/>
              </w:rPr>
              <w:t>опред</w:t>
            </w:r>
            <w:proofErr w:type="spellEnd"/>
            <w:r w:rsidRPr="007C50D0">
              <w:rPr>
                <w:b/>
                <w:sz w:val="24"/>
                <w:szCs w:val="24"/>
              </w:rPr>
              <w:t>. должности</w:t>
            </w:r>
          </w:p>
        </w:tc>
        <w:tc>
          <w:tcPr>
            <w:tcW w:w="1134" w:type="dxa"/>
            <w:tcBorders>
              <w:top w:val="double" w:sz="4" w:space="0" w:color="auto"/>
              <w:left w:val="single" w:sz="4" w:space="0" w:color="auto"/>
              <w:bottom w:val="thickThinLargeGap" w:sz="24" w:space="0" w:color="auto"/>
              <w:right w:val="doub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Ограничение  свободы</w:t>
            </w:r>
          </w:p>
        </w:tc>
      </w:tr>
      <w:tr w:rsidR="007C50D0" w:rsidRPr="007C50D0" w:rsidTr="00E45BEB">
        <w:trPr>
          <w:trHeight w:val="184"/>
        </w:trPr>
        <w:tc>
          <w:tcPr>
            <w:tcW w:w="720" w:type="dxa"/>
            <w:tcBorders>
              <w:top w:val="double" w:sz="4" w:space="0" w:color="auto"/>
              <w:left w:val="double" w:sz="4" w:space="0" w:color="auto"/>
              <w:bottom w:val="outset" w:sz="6" w:space="0" w:color="auto"/>
              <w:right w:val="outset" w:sz="6"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2015</w:t>
            </w:r>
          </w:p>
        </w:tc>
        <w:tc>
          <w:tcPr>
            <w:tcW w:w="1123" w:type="dxa"/>
            <w:tcBorders>
              <w:top w:val="double" w:sz="4" w:space="0" w:color="auto"/>
              <w:left w:val="outset" w:sz="6" w:space="0" w:color="auto"/>
              <w:bottom w:val="outset" w:sz="6" w:space="0" w:color="auto"/>
              <w:right w:val="outset" w:sz="6"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655</w:t>
            </w:r>
          </w:p>
        </w:tc>
        <w:tc>
          <w:tcPr>
            <w:tcW w:w="1134" w:type="dxa"/>
            <w:tcBorders>
              <w:top w:val="double" w:sz="4" w:space="0" w:color="auto"/>
              <w:left w:val="outset" w:sz="6" w:space="0" w:color="auto"/>
              <w:bottom w:val="outset" w:sz="6" w:space="0" w:color="auto"/>
              <w:right w:val="outset" w:sz="6"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1425</w:t>
            </w:r>
          </w:p>
        </w:tc>
        <w:tc>
          <w:tcPr>
            <w:tcW w:w="1134" w:type="dxa"/>
            <w:tcBorders>
              <w:top w:val="double" w:sz="4" w:space="0" w:color="auto"/>
              <w:left w:val="outset" w:sz="6" w:space="0" w:color="auto"/>
              <w:bottom w:val="outset" w:sz="6" w:space="0" w:color="auto"/>
              <w:right w:val="outset" w:sz="6"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1216</w:t>
            </w:r>
          </w:p>
        </w:tc>
        <w:tc>
          <w:tcPr>
            <w:tcW w:w="1276" w:type="dxa"/>
            <w:tcBorders>
              <w:top w:val="double" w:sz="4" w:space="0" w:color="auto"/>
              <w:left w:val="outset" w:sz="6" w:space="0" w:color="auto"/>
              <w:bottom w:val="outset" w:sz="6" w:space="0" w:color="auto"/>
              <w:right w:val="outset" w:sz="6"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414</w:t>
            </w:r>
          </w:p>
        </w:tc>
        <w:tc>
          <w:tcPr>
            <w:tcW w:w="1134" w:type="dxa"/>
            <w:tcBorders>
              <w:top w:val="double" w:sz="4" w:space="0" w:color="auto"/>
              <w:left w:val="outset" w:sz="6" w:space="0" w:color="auto"/>
              <w:bottom w:val="outset" w:sz="6"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1427</w:t>
            </w:r>
          </w:p>
        </w:tc>
        <w:tc>
          <w:tcPr>
            <w:tcW w:w="1701" w:type="dxa"/>
            <w:tcBorders>
              <w:top w:val="double" w:sz="4" w:space="0" w:color="auto"/>
              <w:left w:val="single" w:sz="4" w:space="0" w:color="auto"/>
              <w:bottom w:val="outset" w:sz="6"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w:t>
            </w:r>
          </w:p>
        </w:tc>
        <w:tc>
          <w:tcPr>
            <w:tcW w:w="1134" w:type="dxa"/>
            <w:tcBorders>
              <w:top w:val="double" w:sz="4" w:space="0" w:color="auto"/>
              <w:left w:val="single" w:sz="4" w:space="0" w:color="auto"/>
              <w:bottom w:val="outset" w:sz="6"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345</w:t>
            </w:r>
          </w:p>
        </w:tc>
      </w:tr>
      <w:tr w:rsidR="007C50D0" w:rsidRPr="007C50D0" w:rsidTr="00E45BEB">
        <w:trPr>
          <w:trHeight w:val="57"/>
        </w:trPr>
        <w:tc>
          <w:tcPr>
            <w:tcW w:w="720" w:type="dxa"/>
            <w:tcBorders>
              <w:top w:val="outset" w:sz="6" w:space="0" w:color="auto"/>
              <w:left w:val="double" w:sz="4" w:space="0" w:color="auto"/>
              <w:bottom w:val="double" w:sz="4" w:space="0" w:color="auto"/>
              <w:right w:val="outset" w:sz="6"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w:t>
            </w:r>
          </w:p>
        </w:tc>
        <w:tc>
          <w:tcPr>
            <w:tcW w:w="1123" w:type="dxa"/>
            <w:tcBorders>
              <w:top w:val="outset" w:sz="6" w:space="0" w:color="auto"/>
              <w:left w:val="outset" w:sz="6" w:space="0" w:color="auto"/>
              <w:bottom w:val="double" w:sz="4" w:space="0" w:color="auto"/>
              <w:right w:val="outset" w:sz="6"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10,4</w:t>
            </w:r>
          </w:p>
        </w:tc>
        <w:tc>
          <w:tcPr>
            <w:tcW w:w="1134" w:type="dxa"/>
            <w:tcBorders>
              <w:top w:val="outset" w:sz="6" w:space="0" w:color="auto"/>
              <w:left w:val="outset" w:sz="6" w:space="0" w:color="auto"/>
              <w:bottom w:val="double" w:sz="4" w:space="0" w:color="auto"/>
              <w:right w:val="outset" w:sz="6"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22,5</w:t>
            </w:r>
          </w:p>
        </w:tc>
        <w:tc>
          <w:tcPr>
            <w:tcW w:w="1134" w:type="dxa"/>
            <w:tcBorders>
              <w:top w:val="outset" w:sz="6" w:space="0" w:color="auto"/>
              <w:left w:val="outset" w:sz="6" w:space="0" w:color="auto"/>
              <w:bottom w:val="double" w:sz="4" w:space="0" w:color="auto"/>
              <w:right w:val="outset" w:sz="6"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19,2</w:t>
            </w:r>
          </w:p>
        </w:tc>
        <w:tc>
          <w:tcPr>
            <w:tcW w:w="1276" w:type="dxa"/>
            <w:tcBorders>
              <w:top w:val="outset" w:sz="6" w:space="0" w:color="auto"/>
              <w:left w:val="outset" w:sz="6" w:space="0" w:color="auto"/>
              <w:bottom w:val="double" w:sz="4" w:space="0" w:color="auto"/>
              <w:right w:val="outset" w:sz="6"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6,5</w:t>
            </w:r>
          </w:p>
        </w:tc>
        <w:tc>
          <w:tcPr>
            <w:tcW w:w="1134" w:type="dxa"/>
            <w:tcBorders>
              <w:top w:val="outset" w:sz="6" w:space="0" w:color="auto"/>
              <w:left w:val="outset" w:sz="6"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22,6</w:t>
            </w:r>
          </w:p>
        </w:tc>
        <w:tc>
          <w:tcPr>
            <w:tcW w:w="1701" w:type="dxa"/>
            <w:tcBorders>
              <w:top w:val="outset" w:sz="6"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0,0</w:t>
            </w:r>
          </w:p>
        </w:tc>
        <w:tc>
          <w:tcPr>
            <w:tcW w:w="1134" w:type="dxa"/>
            <w:tcBorders>
              <w:top w:val="outset" w:sz="6" w:space="0" w:color="auto"/>
              <w:left w:val="single" w:sz="4" w:space="0" w:color="auto"/>
              <w:bottom w:val="double" w:sz="4" w:space="0" w:color="auto"/>
              <w:right w:val="doub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5,5</w:t>
            </w:r>
          </w:p>
        </w:tc>
      </w:tr>
      <w:tr w:rsidR="007C50D0" w:rsidRPr="007C50D0" w:rsidTr="00E45BEB">
        <w:trPr>
          <w:trHeight w:val="42"/>
        </w:trPr>
        <w:tc>
          <w:tcPr>
            <w:tcW w:w="720" w:type="dxa"/>
            <w:tcBorders>
              <w:top w:val="double" w:sz="4" w:space="0" w:color="auto"/>
              <w:left w:val="double" w:sz="4" w:space="0" w:color="auto"/>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2016</w:t>
            </w:r>
          </w:p>
        </w:tc>
        <w:tc>
          <w:tcPr>
            <w:tcW w:w="1123" w:type="dxa"/>
            <w:tcBorders>
              <w:top w:val="doub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822</w:t>
            </w:r>
          </w:p>
        </w:tc>
        <w:tc>
          <w:tcPr>
            <w:tcW w:w="1134" w:type="dxa"/>
            <w:tcBorders>
              <w:top w:val="doub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1398</w:t>
            </w:r>
          </w:p>
        </w:tc>
        <w:tc>
          <w:tcPr>
            <w:tcW w:w="1134" w:type="dxa"/>
            <w:tcBorders>
              <w:top w:val="doub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943</w:t>
            </w:r>
          </w:p>
        </w:tc>
        <w:tc>
          <w:tcPr>
            <w:tcW w:w="1276" w:type="dxa"/>
            <w:tcBorders>
              <w:top w:val="doub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454</w:t>
            </w:r>
          </w:p>
        </w:tc>
        <w:tc>
          <w:tcPr>
            <w:tcW w:w="1134" w:type="dxa"/>
            <w:tcBorders>
              <w:top w:val="doub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2553</w:t>
            </w:r>
          </w:p>
        </w:tc>
        <w:tc>
          <w:tcPr>
            <w:tcW w:w="1701" w:type="dxa"/>
            <w:tcBorders>
              <w:top w:val="double" w:sz="4" w:space="0" w:color="auto"/>
              <w:bottom w:val="outset" w:sz="6"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17</w:t>
            </w:r>
          </w:p>
        </w:tc>
        <w:tc>
          <w:tcPr>
            <w:tcW w:w="1134" w:type="dxa"/>
            <w:tcBorders>
              <w:top w:val="double" w:sz="4" w:space="0" w:color="auto"/>
              <w:left w:val="single" w:sz="4" w:space="0" w:color="auto"/>
              <w:bottom w:val="outset" w:sz="6"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361</w:t>
            </w:r>
          </w:p>
        </w:tc>
      </w:tr>
      <w:tr w:rsidR="007C50D0" w:rsidRPr="007C50D0" w:rsidTr="00E45BEB">
        <w:trPr>
          <w:trHeight w:val="57"/>
        </w:trPr>
        <w:tc>
          <w:tcPr>
            <w:tcW w:w="720" w:type="dxa"/>
            <w:tcBorders>
              <w:top w:val="single" w:sz="4" w:space="0" w:color="auto"/>
              <w:left w:val="doub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w:t>
            </w:r>
          </w:p>
        </w:tc>
        <w:tc>
          <w:tcPr>
            <w:tcW w:w="1123"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12,2</w:t>
            </w:r>
          </w:p>
        </w:tc>
        <w:tc>
          <w:tcPr>
            <w:tcW w:w="1134"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20,8</w:t>
            </w:r>
          </w:p>
        </w:tc>
        <w:tc>
          <w:tcPr>
            <w:tcW w:w="1134"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14</w:t>
            </w:r>
          </w:p>
        </w:tc>
        <w:tc>
          <w:tcPr>
            <w:tcW w:w="1276"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6,8</w:t>
            </w:r>
          </w:p>
        </w:tc>
        <w:tc>
          <w:tcPr>
            <w:tcW w:w="1134"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38</w:t>
            </w:r>
          </w:p>
        </w:tc>
        <w:tc>
          <w:tcPr>
            <w:tcW w:w="1701" w:type="dxa"/>
            <w:tcBorders>
              <w:top w:val="outset" w:sz="6"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0,3</w:t>
            </w:r>
          </w:p>
        </w:tc>
        <w:tc>
          <w:tcPr>
            <w:tcW w:w="1134" w:type="dxa"/>
            <w:tcBorders>
              <w:top w:val="outset" w:sz="6" w:space="0" w:color="auto"/>
              <w:left w:val="single" w:sz="4" w:space="0" w:color="auto"/>
              <w:bottom w:val="double" w:sz="4" w:space="0" w:color="auto"/>
              <w:right w:val="doub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5,4</w:t>
            </w:r>
          </w:p>
        </w:tc>
      </w:tr>
      <w:tr w:rsidR="007C50D0" w:rsidRPr="007C50D0" w:rsidTr="00E45BEB">
        <w:trPr>
          <w:trHeight w:val="135"/>
        </w:trPr>
        <w:tc>
          <w:tcPr>
            <w:tcW w:w="720" w:type="dxa"/>
            <w:tcBorders>
              <w:top w:val="double" w:sz="4" w:space="0" w:color="auto"/>
              <w:left w:val="doub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2017</w:t>
            </w:r>
          </w:p>
        </w:tc>
        <w:tc>
          <w:tcPr>
            <w:tcW w:w="1123"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846</w:t>
            </w:r>
          </w:p>
        </w:tc>
        <w:tc>
          <w:tcPr>
            <w:tcW w:w="1134"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1139</w:t>
            </w:r>
          </w:p>
        </w:tc>
        <w:tc>
          <w:tcPr>
            <w:tcW w:w="1134"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1091</w:t>
            </w:r>
          </w:p>
        </w:tc>
        <w:tc>
          <w:tcPr>
            <w:tcW w:w="1276"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588</w:t>
            </w:r>
          </w:p>
        </w:tc>
        <w:tc>
          <w:tcPr>
            <w:tcW w:w="1134" w:type="dxa"/>
            <w:tcBorders>
              <w:top w:val="double"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2408</w:t>
            </w:r>
          </w:p>
        </w:tc>
        <w:tc>
          <w:tcPr>
            <w:tcW w:w="1701" w:type="dxa"/>
            <w:tcBorders>
              <w:top w:val="double" w:sz="4" w:space="0" w:color="auto"/>
              <w:left w:val="single" w:sz="4" w:space="0" w:color="auto"/>
              <w:bottom w:val="outset" w:sz="6"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7</w:t>
            </w:r>
          </w:p>
        </w:tc>
        <w:tc>
          <w:tcPr>
            <w:tcW w:w="1134" w:type="dxa"/>
            <w:tcBorders>
              <w:top w:val="double" w:sz="4" w:space="0" w:color="auto"/>
              <w:left w:val="single" w:sz="4" w:space="0" w:color="auto"/>
              <w:bottom w:val="outset" w:sz="6"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305</w:t>
            </w:r>
          </w:p>
        </w:tc>
      </w:tr>
      <w:tr w:rsidR="007C50D0" w:rsidRPr="007C50D0" w:rsidTr="00E45BEB">
        <w:trPr>
          <w:trHeight w:val="126"/>
        </w:trPr>
        <w:tc>
          <w:tcPr>
            <w:tcW w:w="720" w:type="dxa"/>
            <w:tcBorders>
              <w:top w:val="single" w:sz="4" w:space="0" w:color="auto"/>
              <w:left w:val="doub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w:t>
            </w:r>
          </w:p>
        </w:tc>
        <w:tc>
          <w:tcPr>
            <w:tcW w:w="1123"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13,1</w:t>
            </w:r>
          </w:p>
        </w:tc>
        <w:tc>
          <w:tcPr>
            <w:tcW w:w="1134"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17,7</w:t>
            </w:r>
          </w:p>
        </w:tc>
        <w:tc>
          <w:tcPr>
            <w:tcW w:w="1134"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16,9</w:t>
            </w:r>
          </w:p>
        </w:tc>
        <w:tc>
          <w:tcPr>
            <w:tcW w:w="1276"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9,1</w:t>
            </w:r>
          </w:p>
        </w:tc>
        <w:tc>
          <w:tcPr>
            <w:tcW w:w="1134"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37,4</w:t>
            </w:r>
          </w:p>
        </w:tc>
        <w:tc>
          <w:tcPr>
            <w:tcW w:w="1701" w:type="dxa"/>
            <w:tcBorders>
              <w:top w:val="outset" w:sz="6"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0,1</w:t>
            </w:r>
          </w:p>
        </w:tc>
        <w:tc>
          <w:tcPr>
            <w:tcW w:w="1134" w:type="dxa"/>
            <w:tcBorders>
              <w:top w:val="outset" w:sz="6" w:space="0" w:color="auto"/>
              <w:left w:val="single" w:sz="4" w:space="0" w:color="auto"/>
              <w:bottom w:val="double" w:sz="4" w:space="0" w:color="auto"/>
              <w:right w:val="double" w:sz="4" w:space="0" w:color="auto"/>
            </w:tcBorders>
            <w:shd w:val="clear" w:color="auto" w:fill="FFFFFF"/>
            <w:vAlign w:val="center"/>
          </w:tcPr>
          <w:p w:rsidR="007C50D0" w:rsidRPr="007C50D0" w:rsidRDefault="007C50D0" w:rsidP="008619A6">
            <w:pPr>
              <w:contextualSpacing/>
              <w:jc w:val="center"/>
              <w:rPr>
                <w:b/>
                <w:bCs/>
                <w:i/>
                <w:sz w:val="24"/>
                <w:szCs w:val="24"/>
              </w:rPr>
            </w:pPr>
            <w:r w:rsidRPr="007C50D0">
              <w:rPr>
                <w:b/>
                <w:bCs/>
                <w:i/>
                <w:sz w:val="24"/>
                <w:szCs w:val="24"/>
              </w:rPr>
              <w:t>4,7</w:t>
            </w:r>
          </w:p>
        </w:tc>
      </w:tr>
    </w:tbl>
    <w:p w:rsidR="007C50D0" w:rsidRPr="007C50D0" w:rsidRDefault="007C50D0" w:rsidP="008619A6">
      <w:pPr>
        <w:ind w:firstLine="840"/>
        <w:contextualSpacing/>
        <w:jc w:val="both"/>
        <w:rPr>
          <w:b/>
          <w:sz w:val="28"/>
          <w:szCs w:val="28"/>
          <w:u w:val="single"/>
        </w:rPr>
      </w:pPr>
    </w:p>
    <w:p w:rsidR="00E45BEB" w:rsidRDefault="00E45BEB" w:rsidP="008619A6">
      <w:pPr>
        <w:ind w:firstLine="840"/>
        <w:contextualSpacing/>
        <w:jc w:val="both"/>
        <w:rPr>
          <w:b/>
          <w:sz w:val="28"/>
          <w:szCs w:val="28"/>
          <w:u w:val="single"/>
        </w:rPr>
      </w:pPr>
    </w:p>
    <w:p w:rsidR="00E45BEB" w:rsidRDefault="00E45BEB" w:rsidP="008619A6">
      <w:pPr>
        <w:ind w:firstLine="840"/>
        <w:contextualSpacing/>
        <w:jc w:val="both"/>
        <w:rPr>
          <w:b/>
          <w:sz w:val="28"/>
          <w:szCs w:val="28"/>
          <w:u w:val="single"/>
        </w:rPr>
      </w:pPr>
    </w:p>
    <w:p w:rsidR="007C50D0" w:rsidRPr="007C50D0" w:rsidRDefault="007C50D0" w:rsidP="008619A6">
      <w:pPr>
        <w:ind w:firstLine="840"/>
        <w:contextualSpacing/>
        <w:jc w:val="both"/>
        <w:rPr>
          <w:b/>
          <w:sz w:val="28"/>
          <w:szCs w:val="28"/>
          <w:u w:val="single"/>
        </w:rPr>
      </w:pPr>
      <w:r w:rsidRPr="007C50D0">
        <w:rPr>
          <w:b/>
          <w:sz w:val="28"/>
          <w:szCs w:val="28"/>
          <w:u w:val="single"/>
        </w:rPr>
        <w:lastRenderedPageBreak/>
        <w:t>Гражданское судопроизводство</w:t>
      </w:r>
    </w:p>
    <w:p w:rsidR="007C50D0" w:rsidRPr="007C50D0" w:rsidRDefault="007C50D0" w:rsidP="008619A6">
      <w:pPr>
        <w:ind w:firstLine="840"/>
        <w:contextualSpacing/>
        <w:jc w:val="both"/>
        <w:rPr>
          <w:sz w:val="28"/>
          <w:szCs w:val="28"/>
        </w:rPr>
      </w:pPr>
      <w:r w:rsidRPr="007C50D0">
        <w:rPr>
          <w:sz w:val="28"/>
          <w:szCs w:val="28"/>
        </w:rPr>
        <w:t xml:space="preserve">Наиболее часто мировыми судьями рассматривались дела по </w:t>
      </w:r>
      <w:r w:rsidR="00E45BEB">
        <w:rPr>
          <w:sz w:val="28"/>
          <w:szCs w:val="28"/>
        </w:rPr>
        <w:t xml:space="preserve">следующим </w:t>
      </w:r>
      <w:r w:rsidRPr="007C50D0">
        <w:rPr>
          <w:sz w:val="28"/>
          <w:szCs w:val="28"/>
        </w:rPr>
        <w:t>искам</w:t>
      </w:r>
      <w:r w:rsidR="00E45BEB">
        <w:rPr>
          <w:sz w:val="28"/>
          <w:szCs w:val="28"/>
        </w:rPr>
        <w:t>:</w:t>
      </w:r>
    </w:p>
    <w:p w:rsidR="007C50D0" w:rsidRPr="00E45BEB" w:rsidRDefault="007C50D0" w:rsidP="00335DC8">
      <w:pPr>
        <w:pStyle w:val="ab"/>
        <w:numPr>
          <w:ilvl w:val="0"/>
          <w:numId w:val="16"/>
        </w:numPr>
        <w:ind w:left="709" w:hanging="567"/>
        <w:jc w:val="both"/>
        <w:rPr>
          <w:sz w:val="28"/>
          <w:szCs w:val="28"/>
        </w:rPr>
      </w:pPr>
      <w:r w:rsidRPr="00E45BEB">
        <w:rPr>
          <w:sz w:val="28"/>
          <w:szCs w:val="28"/>
        </w:rPr>
        <w:t>о взыскании сумм по договору займа, кредитные договора – 124333 дела, что составляет 52,7% от общего количества рассмотренных дел;</w:t>
      </w:r>
    </w:p>
    <w:p w:rsidR="007C50D0" w:rsidRPr="00E45BEB" w:rsidRDefault="007C50D0" w:rsidP="00335DC8">
      <w:pPr>
        <w:pStyle w:val="ab"/>
        <w:numPr>
          <w:ilvl w:val="0"/>
          <w:numId w:val="16"/>
        </w:numPr>
        <w:ind w:left="709" w:hanging="567"/>
        <w:jc w:val="both"/>
        <w:rPr>
          <w:sz w:val="28"/>
          <w:szCs w:val="28"/>
        </w:rPr>
      </w:pPr>
      <w:proofErr w:type="gramStart"/>
      <w:r w:rsidRPr="00E45BEB">
        <w:rPr>
          <w:sz w:val="28"/>
          <w:szCs w:val="28"/>
        </w:rPr>
        <w:t>возникающим</w:t>
      </w:r>
      <w:proofErr w:type="gramEnd"/>
      <w:r w:rsidRPr="00E45BEB">
        <w:rPr>
          <w:sz w:val="28"/>
          <w:szCs w:val="28"/>
        </w:rPr>
        <w:t xml:space="preserve"> из жилищного законодательства, – 36418 дел, 15,4% (из них о взыскании платы за жилую площадь и коммунальные услуги – 36233 дела);</w:t>
      </w:r>
    </w:p>
    <w:p w:rsidR="007C50D0" w:rsidRPr="00E45BEB" w:rsidRDefault="007C50D0" w:rsidP="00335DC8">
      <w:pPr>
        <w:pStyle w:val="ab"/>
        <w:numPr>
          <w:ilvl w:val="0"/>
          <w:numId w:val="16"/>
        </w:numPr>
        <w:ind w:left="709" w:hanging="567"/>
        <w:jc w:val="both"/>
        <w:rPr>
          <w:sz w:val="28"/>
          <w:szCs w:val="28"/>
        </w:rPr>
      </w:pPr>
      <w:proofErr w:type="gramStart"/>
      <w:r w:rsidRPr="00E45BEB">
        <w:rPr>
          <w:sz w:val="28"/>
          <w:szCs w:val="28"/>
        </w:rPr>
        <w:t>вытекающим</w:t>
      </w:r>
      <w:proofErr w:type="gramEnd"/>
      <w:r w:rsidRPr="00E45BEB">
        <w:rPr>
          <w:sz w:val="28"/>
          <w:szCs w:val="28"/>
        </w:rPr>
        <w:t xml:space="preserve"> из брачно-семейных отношений – 23475 дел, или 9,9% (из них о расторжении брака – 10969 дел, о взыскании алиментов на содержание несовершеннолетних детей – 8567 дел);</w:t>
      </w:r>
    </w:p>
    <w:p w:rsidR="007C50D0" w:rsidRPr="00E45BEB" w:rsidRDefault="007C50D0" w:rsidP="00335DC8">
      <w:pPr>
        <w:pStyle w:val="ab"/>
        <w:numPr>
          <w:ilvl w:val="0"/>
          <w:numId w:val="16"/>
        </w:numPr>
        <w:ind w:left="709" w:hanging="567"/>
        <w:jc w:val="both"/>
        <w:rPr>
          <w:sz w:val="28"/>
          <w:szCs w:val="28"/>
        </w:rPr>
      </w:pPr>
      <w:proofErr w:type="gramStart"/>
      <w:r w:rsidRPr="00E45BEB">
        <w:rPr>
          <w:sz w:val="28"/>
          <w:szCs w:val="28"/>
        </w:rPr>
        <w:t>возникающим</w:t>
      </w:r>
      <w:proofErr w:type="gramEnd"/>
      <w:r w:rsidRPr="00E45BEB">
        <w:rPr>
          <w:sz w:val="28"/>
          <w:szCs w:val="28"/>
        </w:rPr>
        <w:t xml:space="preserve"> из трудовых правоотношений – 6245 дел, или 2,6%, из них о взыскании невыплаченной заработной платы, других выплат – 6212 дела;</w:t>
      </w:r>
    </w:p>
    <w:p w:rsidR="007C50D0" w:rsidRPr="00E45BEB" w:rsidRDefault="007C50D0" w:rsidP="00335DC8">
      <w:pPr>
        <w:pStyle w:val="ab"/>
        <w:numPr>
          <w:ilvl w:val="0"/>
          <w:numId w:val="16"/>
        </w:numPr>
        <w:ind w:left="709" w:hanging="567"/>
        <w:jc w:val="both"/>
        <w:rPr>
          <w:sz w:val="28"/>
          <w:szCs w:val="28"/>
        </w:rPr>
      </w:pPr>
      <w:r w:rsidRPr="00E45BEB">
        <w:rPr>
          <w:sz w:val="28"/>
          <w:szCs w:val="28"/>
        </w:rPr>
        <w:t>о взыскании страхового возмещения (страхование имущества) – 4723 дела, или 2,0%, из них по договору ОСАГО – 3771 дело, по договору КАСКО – 361 дело;</w:t>
      </w:r>
    </w:p>
    <w:p w:rsidR="007C50D0" w:rsidRPr="00E45BEB" w:rsidRDefault="007C50D0" w:rsidP="00335DC8">
      <w:pPr>
        <w:pStyle w:val="ab"/>
        <w:numPr>
          <w:ilvl w:val="0"/>
          <w:numId w:val="16"/>
        </w:numPr>
        <w:ind w:left="709" w:hanging="567"/>
        <w:jc w:val="both"/>
        <w:rPr>
          <w:sz w:val="28"/>
          <w:szCs w:val="28"/>
        </w:rPr>
      </w:pPr>
      <w:r w:rsidRPr="00E45BEB">
        <w:rPr>
          <w:sz w:val="28"/>
          <w:szCs w:val="28"/>
        </w:rPr>
        <w:t>о возмещении ущерба от ДТП (кроме увечий и смерти кормильца) – 2040 дел, или 0,9%;</w:t>
      </w:r>
    </w:p>
    <w:p w:rsidR="007C50D0" w:rsidRPr="00E45BEB" w:rsidRDefault="007C50D0" w:rsidP="00335DC8">
      <w:pPr>
        <w:pStyle w:val="ab"/>
        <w:numPr>
          <w:ilvl w:val="0"/>
          <w:numId w:val="16"/>
        </w:numPr>
        <w:ind w:left="709" w:hanging="567"/>
        <w:jc w:val="both"/>
        <w:rPr>
          <w:sz w:val="28"/>
          <w:szCs w:val="28"/>
        </w:rPr>
      </w:pPr>
      <w:r w:rsidRPr="00E45BEB">
        <w:rPr>
          <w:sz w:val="28"/>
          <w:szCs w:val="28"/>
        </w:rPr>
        <w:t>о защите прав потребителей (из договоров в сфере услуг и договоров с финансово-кредитными учреждениями) – 4669 дел, или 2,0%.</w:t>
      </w:r>
    </w:p>
    <w:p w:rsidR="007C50D0" w:rsidRPr="007C50D0" w:rsidRDefault="007C50D0" w:rsidP="008619A6">
      <w:pPr>
        <w:ind w:firstLine="851"/>
        <w:contextualSpacing/>
        <w:jc w:val="both"/>
        <w:rPr>
          <w:sz w:val="28"/>
          <w:szCs w:val="28"/>
        </w:rPr>
      </w:pPr>
      <w:r w:rsidRPr="007C50D0">
        <w:rPr>
          <w:sz w:val="28"/>
          <w:szCs w:val="28"/>
        </w:rPr>
        <w:t>Следует отметить, что количество дел по договорам займа (кредитному договору) по сравнению с прошлым годом выросло на 26,8%.</w:t>
      </w:r>
    </w:p>
    <w:p w:rsidR="007C50D0" w:rsidRPr="00FC541F" w:rsidRDefault="007C50D0" w:rsidP="008619A6">
      <w:pPr>
        <w:ind w:firstLine="851"/>
        <w:contextualSpacing/>
        <w:jc w:val="both"/>
        <w:rPr>
          <w:sz w:val="28"/>
          <w:szCs w:val="28"/>
        </w:rPr>
      </w:pPr>
      <w:r w:rsidRPr="00FC541F">
        <w:rPr>
          <w:sz w:val="28"/>
          <w:szCs w:val="28"/>
        </w:rPr>
        <w:t>Количество исков о взыскании платы за жилую площадь и коммунальные платежи</w:t>
      </w:r>
      <w:r w:rsidR="00FC541F" w:rsidRPr="00FC541F">
        <w:rPr>
          <w:sz w:val="28"/>
          <w:szCs w:val="28"/>
        </w:rPr>
        <w:t xml:space="preserve"> </w:t>
      </w:r>
      <w:r w:rsidR="00FC541F" w:rsidRPr="00FC541F">
        <w:rPr>
          <w:sz w:val="28"/>
          <w:szCs w:val="28"/>
        </w:rPr>
        <w:t>уменьшились по сравнению с 2016 годом на 8,2%</w:t>
      </w:r>
      <w:r w:rsidRPr="00FC541F">
        <w:rPr>
          <w:sz w:val="28"/>
          <w:szCs w:val="28"/>
        </w:rPr>
        <w:t xml:space="preserve">; </w:t>
      </w:r>
      <w:r w:rsidR="00FC541F" w:rsidRPr="00FC541F">
        <w:rPr>
          <w:sz w:val="28"/>
          <w:szCs w:val="28"/>
        </w:rPr>
        <w:t xml:space="preserve">количество </w:t>
      </w:r>
      <w:r w:rsidRPr="00FC541F">
        <w:rPr>
          <w:sz w:val="28"/>
          <w:szCs w:val="28"/>
        </w:rPr>
        <w:t>спор</w:t>
      </w:r>
      <w:r w:rsidR="00FC541F" w:rsidRPr="00FC541F">
        <w:rPr>
          <w:sz w:val="28"/>
          <w:szCs w:val="28"/>
        </w:rPr>
        <w:t>ов</w:t>
      </w:r>
      <w:r w:rsidRPr="00FC541F">
        <w:rPr>
          <w:sz w:val="28"/>
          <w:szCs w:val="28"/>
        </w:rPr>
        <w:t>, вытекающи</w:t>
      </w:r>
      <w:r w:rsidR="00FC541F" w:rsidRPr="00FC541F">
        <w:rPr>
          <w:sz w:val="28"/>
          <w:szCs w:val="28"/>
        </w:rPr>
        <w:t>х</w:t>
      </w:r>
      <w:r w:rsidRPr="00FC541F">
        <w:rPr>
          <w:sz w:val="28"/>
          <w:szCs w:val="28"/>
        </w:rPr>
        <w:t xml:space="preserve"> из трудовых правоотношений</w:t>
      </w:r>
      <w:r w:rsidR="00FC541F" w:rsidRPr="00FC541F">
        <w:rPr>
          <w:sz w:val="28"/>
          <w:szCs w:val="28"/>
        </w:rPr>
        <w:t xml:space="preserve"> – на </w:t>
      </w:r>
      <w:r w:rsidR="00FC541F" w:rsidRPr="00FC541F">
        <w:rPr>
          <w:sz w:val="28"/>
          <w:szCs w:val="28"/>
        </w:rPr>
        <w:t>30%</w:t>
      </w:r>
      <w:r w:rsidRPr="00FC541F">
        <w:rPr>
          <w:sz w:val="28"/>
          <w:szCs w:val="28"/>
        </w:rPr>
        <w:t xml:space="preserve">, </w:t>
      </w:r>
      <w:r w:rsidR="00FC541F" w:rsidRPr="00FC541F">
        <w:rPr>
          <w:sz w:val="28"/>
          <w:szCs w:val="28"/>
        </w:rPr>
        <w:t>исков</w:t>
      </w:r>
      <w:r w:rsidRPr="00FC541F">
        <w:rPr>
          <w:sz w:val="28"/>
          <w:szCs w:val="28"/>
        </w:rPr>
        <w:t xml:space="preserve">, связанных с возмещением ущерба от ДТП, </w:t>
      </w:r>
      <w:r w:rsidR="00FC541F" w:rsidRPr="00FC541F">
        <w:rPr>
          <w:sz w:val="28"/>
          <w:szCs w:val="28"/>
        </w:rPr>
        <w:t>–</w:t>
      </w:r>
      <w:r w:rsidRPr="00FC541F">
        <w:rPr>
          <w:sz w:val="28"/>
          <w:szCs w:val="28"/>
        </w:rPr>
        <w:t xml:space="preserve"> на 47,5%.</w:t>
      </w:r>
    </w:p>
    <w:p w:rsidR="007C50D0" w:rsidRPr="007C50D0" w:rsidRDefault="007C50D0" w:rsidP="008619A6">
      <w:pPr>
        <w:contextualSpacing/>
        <w:jc w:val="both"/>
        <w:rPr>
          <w:sz w:val="24"/>
          <w:szCs w:val="24"/>
        </w:rPr>
      </w:pPr>
      <w:r w:rsidRPr="007C50D0">
        <w:rPr>
          <w:sz w:val="28"/>
          <w:szCs w:val="28"/>
        </w:rPr>
        <w:t xml:space="preserve">                                                                                                              </w:t>
      </w:r>
      <w:r w:rsidRPr="007C50D0">
        <w:rPr>
          <w:sz w:val="24"/>
          <w:szCs w:val="24"/>
        </w:rPr>
        <w:t xml:space="preserve">Диаграмма </w:t>
      </w:r>
      <w:r w:rsidR="00F8243A">
        <w:rPr>
          <w:sz w:val="24"/>
          <w:szCs w:val="24"/>
        </w:rPr>
        <w:t>22</w:t>
      </w:r>
    </w:p>
    <w:p w:rsidR="007C50D0" w:rsidRPr="007C50D0" w:rsidRDefault="007C50D0" w:rsidP="00FC541F">
      <w:pPr>
        <w:ind w:firstLine="851"/>
        <w:contextualSpacing/>
        <w:jc w:val="both"/>
        <w:rPr>
          <w:noProof/>
        </w:rPr>
      </w:pPr>
      <w:r>
        <w:rPr>
          <w:noProof/>
        </w:rPr>
        <w:drawing>
          <wp:inline distT="0" distB="0" distL="0" distR="0" wp14:anchorId="66D937CD" wp14:editId="363E8F69">
            <wp:extent cx="4810897" cy="2471351"/>
            <wp:effectExtent l="0" t="0" r="27940" b="24765"/>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C50D0" w:rsidRPr="007C50D0" w:rsidRDefault="007C50D0" w:rsidP="008619A6">
      <w:pPr>
        <w:ind w:firstLine="851"/>
        <w:contextualSpacing/>
        <w:jc w:val="both"/>
        <w:rPr>
          <w:sz w:val="28"/>
          <w:szCs w:val="28"/>
        </w:rPr>
      </w:pPr>
      <w:r w:rsidRPr="007C50D0">
        <w:rPr>
          <w:sz w:val="28"/>
          <w:szCs w:val="28"/>
        </w:rPr>
        <w:t>Дела о взыскании страхового возмещения, споры о защите прав потребителей остались практически на уровне предыдущего года.</w:t>
      </w:r>
    </w:p>
    <w:p w:rsidR="007C50D0" w:rsidRPr="007C50D0" w:rsidRDefault="007C50D0" w:rsidP="008619A6">
      <w:pPr>
        <w:ind w:firstLine="851"/>
        <w:contextualSpacing/>
        <w:jc w:val="both"/>
        <w:rPr>
          <w:sz w:val="28"/>
          <w:szCs w:val="28"/>
        </w:rPr>
      </w:pPr>
      <w:r w:rsidRPr="007C50D0">
        <w:rPr>
          <w:sz w:val="28"/>
          <w:szCs w:val="28"/>
        </w:rPr>
        <w:t xml:space="preserve">Иски о взыскании сумм по договору займа, иски об оплате труда и взыскании платы за жилую площадь чаще всего рассматривались мировыми судьями городов и районов, представленных в Таблице </w:t>
      </w:r>
      <w:r w:rsidR="00FC541F">
        <w:rPr>
          <w:sz w:val="28"/>
          <w:szCs w:val="28"/>
        </w:rPr>
        <w:t>4</w:t>
      </w:r>
      <w:r w:rsidRPr="007C50D0">
        <w:rPr>
          <w:sz w:val="28"/>
          <w:szCs w:val="28"/>
        </w:rPr>
        <w:t>2.</w:t>
      </w:r>
    </w:p>
    <w:p w:rsidR="007C50D0" w:rsidRPr="007C50D0" w:rsidRDefault="007C50D0" w:rsidP="008619A6">
      <w:pPr>
        <w:ind w:firstLine="900"/>
        <w:contextualSpacing/>
        <w:jc w:val="right"/>
        <w:rPr>
          <w:sz w:val="28"/>
          <w:szCs w:val="28"/>
        </w:rPr>
      </w:pPr>
      <w:r w:rsidRPr="007C50D0">
        <w:rPr>
          <w:sz w:val="24"/>
          <w:szCs w:val="24"/>
        </w:rPr>
        <w:lastRenderedPageBreak/>
        <w:t xml:space="preserve">   Таблица </w:t>
      </w:r>
      <w:r w:rsidR="00E45BEB">
        <w:rPr>
          <w:sz w:val="24"/>
          <w:szCs w:val="24"/>
        </w:rPr>
        <w:t>42</w:t>
      </w:r>
    </w:p>
    <w:tbl>
      <w:tblPr>
        <w:tblW w:w="9497" w:type="dxa"/>
        <w:tblInd w:w="108" w:type="dxa"/>
        <w:tblLayout w:type="fixed"/>
        <w:tblLook w:val="0000" w:firstRow="0" w:lastRow="0" w:firstColumn="0" w:lastColumn="0" w:noHBand="0" w:noVBand="0"/>
      </w:tblPr>
      <w:tblGrid>
        <w:gridCol w:w="567"/>
        <w:gridCol w:w="2268"/>
        <w:gridCol w:w="709"/>
        <w:gridCol w:w="2268"/>
        <w:gridCol w:w="709"/>
        <w:gridCol w:w="2126"/>
        <w:gridCol w:w="850"/>
      </w:tblGrid>
      <w:tr w:rsidR="00FC541F" w:rsidRPr="007C50D0" w:rsidTr="00FC541F">
        <w:trPr>
          <w:trHeight w:val="365"/>
        </w:trPr>
        <w:tc>
          <w:tcPr>
            <w:tcW w:w="567" w:type="dxa"/>
            <w:tcBorders>
              <w:top w:val="double" w:sz="6" w:space="0" w:color="auto"/>
              <w:left w:val="double" w:sz="6" w:space="0" w:color="auto"/>
              <w:bottom w:val="thickThinLargeGap" w:sz="24" w:space="0" w:color="auto"/>
              <w:right w:val="single" w:sz="4" w:space="0" w:color="auto"/>
            </w:tcBorders>
            <w:shd w:val="clear" w:color="auto" w:fill="auto"/>
            <w:noWrap/>
            <w:vAlign w:val="center"/>
          </w:tcPr>
          <w:p w:rsidR="00FC541F" w:rsidRPr="007C50D0" w:rsidRDefault="00FC541F" w:rsidP="008619A6">
            <w:pPr>
              <w:contextualSpacing/>
              <w:jc w:val="center"/>
              <w:rPr>
                <w:sz w:val="24"/>
                <w:szCs w:val="24"/>
                <w:highlight w:val="yellow"/>
              </w:rPr>
            </w:pPr>
          </w:p>
        </w:tc>
        <w:tc>
          <w:tcPr>
            <w:tcW w:w="2977" w:type="dxa"/>
            <w:gridSpan w:val="2"/>
            <w:tcBorders>
              <w:top w:val="double" w:sz="6" w:space="0" w:color="auto"/>
              <w:left w:val="nil"/>
              <w:bottom w:val="thickThinLargeGap" w:sz="24" w:space="0" w:color="auto"/>
              <w:right w:val="single" w:sz="4" w:space="0" w:color="auto"/>
            </w:tcBorders>
            <w:shd w:val="clear" w:color="auto" w:fill="FFFFFF"/>
            <w:noWrap/>
            <w:vAlign w:val="center"/>
          </w:tcPr>
          <w:p w:rsidR="00FC541F" w:rsidRPr="007C50D0" w:rsidRDefault="00FC541F" w:rsidP="008619A6">
            <w:pPr>
              <w:contextualSpacing/>
              <w:jc w:val="center"/>
              <w:rPr>
                <w:b/>
                <w:bCs/>
                <w:sz w:val="24"/>
                <w:szCs w:val="24"/>
              </w:rPr>
            </w:pPr>
            <w:r w:rsidRPr="007C50D0">
              <w:rPr>
                <w:b/>
                <w:bCs/>
                <w:sz w:val="24"/>
                <w:szCs w:val="24"/>
              </w:rPr>
              <w:t>О взыскании платы за жилую площадь</w:t>
            </w:r>
          </w:p>
        </w:tc>
        <w:tc>
          <w:tcPr>
            <w:tcW w:w="2977" w:type="dxa"/>
            <w:gridSpan w:val="2"/>
            <w:tcBorders>
              <w:top w:val="double" w:sz="6" w:space="0" w:color="auto"/>
              <w:left w:val="nil"/>
              <w:bottom w:val="thickThinLargeGap" w:sz="24" w:space="0" w:color="auto"/>
              <w:right w:val="single" w:sz="4" w:space="0" w:color="000000"/>
            </w:tcBorders>
            <w:shd w:val="clear" w:color="auto" w:fill="FFFFFF"/>
            <w:noWrap/>
            <w:vAlign w:val="center"/>
          </w:tcPr>
          <w:p w:rsidR="00FC541F" w:rsidRPr="007C50D0" w:rsidRDefault="00FC541F" w:rsidP="008619A6">
            <w:pPr>
              <w:contextualSpacing/>
              <w:jc w:val="center"/>
              <w:rPr>
                <w:b/>
                <w:bCs/>
                <w:sz w:val="24"/>
                <w:szCs w:val="24"/>
              </w:rPr>
            </w:pPr>
            <w:r w:rsidRPr="007C50D0">
              <w:rPr>
                <w:b/>
                <w:bCs/>
                <w:sz w:val="24"/>
                <w:szCs w:val="24"/>
              </w:rPr>
              <w:t>Об оплате труда</w:t>
            </w:r>
          </w:p>
        </w:tc>
        <w:tc>
          <w:tcPr>
            <w:tcW w:w="2976" w:type="dxa"/>
            <w:gridSpan w:val="2"/>
            <w:tcBorders>
              <w:top w:val="double" w:sz="6" w:space="0" w:color="auto"/>
              <w:left w:val="nil"/>
              <w:bottom w:val="thickThinLargeGap" w:sz="24" w:space="0" w:color="auto"/>
              <w:right w:val="double" w:sz="6" w:space="0" w:color="000000"/>
            </w:tcBorders>
            <w:shd w:val="clear" w:color="auto" w:fill="auto"/>
            <w:vAlign w:val="center"/>
          </w:tcPr>
          <w:p w:rsidR="00FC541F" w:rsidRPr="007C50D0" w:rsidRDefault="00FC541F" w:rsidP="008619A6">
            <w:pPr>
              <w:contextualSpacing/>
              <w:jc w:val="center"/>
              <w:rPr>
                <w:b/>
                <w:bCs/>
                <w:sz w:val="24"/>
                <w:szCs w:val="24"/>
              </w:rPr>
            </w:pPr>
            <w:r w:rsidRPr="007C50D0">
              <w:rPr>
                <w:b/>
                <w:bCs/>
                <w:sz w:val="24"/>
                <w:szCs w:val="24"/>
              </w:rPr>
              <w:t>О взыскании сумм по договору займа (кредитные договоры)</w:t>
            </w:r>
          </w:p>
        </w:tc>
      </w:tr>
      <w:tr w:rsidR="007C50D0" w:rsidRPr="007C50D0" w:rsidTr="00FC541F">
        <w:trPr>
          <w:trHeight w:val="19"/>
        </w:trPr>
        <w:tc>
          <w:tcPr>
            <w:tcW w:w="567" w:type="dxa"/>
            <w:tcBorders>
              <w:top w:val="thickThinLargeGap" w:sz="24" w:space="0" w:color="auto"/>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1</w:t>
            </w:r>
          </w:p>
        </w:tc>
        <w:tc>
          <w:tcPr>
            <w:tcW w:w="2268" w:type="dxa"/>
            <w:tcBorders>
              <w:top w:val="thickThinLargeGap" w:sz="24" w:space="0" w:color="auto"/>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Набережные Челны</w:t>
            </w:r>
          </w:p>
        </w:tc>
        <w:tc>
          <w:tcPr>
            <w:tcW w:w="709" w:type="dxa"/>
            <w:tcBorders>
              <w:top w:val="thickThinLargeGap" w:sz="24" w:space="0" w:color="auto"/>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6204</w:t>
            </w:r>
          </w:p>
        </w:tc>
        <w:tc>
          <w:tcPr>
            <w:tcW w:w="2268" w:type="dxa"/>
            <w:tcBorders>
              <w:top w:val="thickThinLargeGap" w:sz="24" w:space="0" w:color="auto"/>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Московский</w:t>
            </w:r>
          </w:p>
        </w:tc>
        <w:tc>
          <w:tcPr>
            <w:tcW w:w="709" w:type="dxa"/>
            <w:tcBorders>
              <w:top w:val="thickThinLargeGap" w:sz="24" w:space="0" w:color="auto"/>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1792</w:t>
            </w:r>
          </w:p>
        </w:tc>
        <w:tc>
          <w:tcPr>
            <w:tcW w:w="2126" w:type="dxa"/>
            <w:tcBorders>
              <w:top w:val="thickThinLargeGap" w:sz="24" w:space="0" w:color="auto"/>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Набережные Челны</w:t>
            </w:r>
          </w:p>
        </w:tc>
        <w:tc>
          <w:tcPr>
            <w:tcW w:w="850" w:type="dxa"/>
            <w:tcBorders>
              <w:top w:val="thickThinLargeGap" w:sz="24" w:space="0" w:color="auto"/>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17316</w:t>
            </w:r>
          </w:p>
        </w:tc>
      </w:tr>
      <w:tr w:rsidR="007C50D0" w:rsidRPr="007C50D0" w:rsidTr="00FC541F">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2</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Альметьевск</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2831</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Кировский</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1209</w:t>
            </w:r>
          </w:p>
        </w:tc>
        <w:tc>
          <w:tcPr>
            <w:tcW w:w="2126"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Нижнекамск</w:t>
            </w:r>
          </w:p>
        </w:tc>
        <w:tc>
          <w:tcPr>
            <w:tcW w:w="850" w:type="dxa"/>
            <w:tcBorders>
              <w:top w:val="nil"/>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6340</w:t>
            </w:r>
          </w:p>
        </w:tc>
      </w:tr>
      <w:tr w:rsidR="007C50D0" w:rsidRPr="007C50D0" w:rsidTr="00FC541F">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3</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Елабуга</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2752</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Набережные Челны</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490</w:t>
            </w:r>
          </w:p>
        </w:tc>
        <w:tc>
          <w:tcPr>
            <w:tcW w:w="2126"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Альметьевск</w:t>
            </w:r>
          </w:p>
        </w:tc>
        <w:tc>
          <w:tcPr>
            <w:tcW w:w="850" w:type="dxa"/>
            <w:tcBorders>
              <w:top w:val="nil"/>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6210</w:t>
            </w:r>
          </w:p>
        </w:tc>
      </w:tr>
      <w:tr w:rsidR="007C50D0" w:rsidRPr="007C50D0" w:rsidTr="00FC541F">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4</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Нижнекамск</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2174</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Нижнекамск</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485</w:t>
            </w:r>
          </w:p>
        </w:tc>
        <w:tc>
          <w:tcPr>
            <w:tcW w:w="2126"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Зеленодольск</w:t>
            </w:r>
          </w:p>
        </w:tc>
        <w:tc>
          <w:tcPr>
            <w:tcW w:w="850" w:type="dxa"/>
            <w:tcBorders>
              <w:top w:val="nil"/>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6112</w:t>
            </w:r>
          </w:p>
        </w:tc>
      </w:tr>
      <w:tr w:rsidR="007C50D0" w:rsidRPr="007C50D0" w:rsidTr="00FC541F">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5</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Советский</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1936</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Приволжский</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478</w:t>
            </w:r>
          </w:p>
        </w:tc>
        <w:tc>
          <w:tcPr>
            <w:tcW w:w="2126"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Советский</w:t>
            </w:r>
          </w:p>
        </w:tc>
        <w:tc>
          <w:tcPr>
            <w:tcW w:w="850" w:type="dxa"/>
            <w:tcBorders>
              <w:top w:val="nil"/>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5753</w:t>
            </w:r>
          </w:p>
        </w:tc>
      </w:tr>
      <w:tr w:rsidR="007C50D0" w:rsidRPr="007C50D0" w:rsidTr="00FC541F">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6</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Ново-Савиновский</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1670</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Авиастроительный</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458</w:t>
            </w:r>
          </w:p>
        </w:tc>
        <w:tc>
          <w:tcPr>
            <w:tcW w:w="2126"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Ново-Савиновский</w:t>
            </w:r>
          </w:p>
        </w:tc>
        <w:tc>
          <w:tcPr>
            <w:tcW w:w="850" w:type="dxa"/>
            <w:tcBorders>
              <w:top w:val="nil"/>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5009</w:t>
            </w:r>
          </w:p>
        </w:tc>
      </w:tr>
      <w:tr w:rsidR="007C50D0" w:rsidRPr="007C50D0" w:rsidTr="00FC541F">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7</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Бугульма</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1511</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proofErr w:type="spellStart"/>
            <w:r w:rsidRPr="007C50D0">
              <w:rPr>
                <w:color w:val="000000"/>
                <w:sz w:val="24"/>
                <w:szCs w:val="24"/>
              </w:rPr>
              <w:t>Вахитовский</w:t>
            </w:r>
            <w:proofErr w:type="spellEnd"/>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372</w:t>
            </w:r>
          </w:p>
        </w:tc>
        <w:tc>
          <w:tcPr>
            <w:tcW w:w="2126"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Лениногорск</w:t>
            </w:r>
          </w:p>
        </w:tc>
        <w:tc>
          <w:tcPr>
            <w:tcW w:w="850" w:type="dxa"/>
            <w:tcBorders>
              <w:top w:val="nil"/>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4155</w:t>
            </w:r>
          </w:p>
        </w:tc>
      </w:tr>
      <w:tr w:rsidR="007C50D0" w:rsidRPr="007C50D0" w:rsidTr="00FC541F">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8</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Зеленодольск</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1310</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Ново-Савиновский</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310</w:t>
            </w:r>
          </w:p>
        </w:tc>
        <w:tc>
          <w:tcPr>
            <w:tcW w:w="2126"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Приволжский</w:t>
            </w:r>
          </w:p>
        </w:tc>
        <w:tc>
          <w:tcPr>
            <w:tcW w:w="850" w:type="dxa"/>
            <w:tcBorders>
              <w:top w:val="nil"/>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4085</w:t>
            </w:r>
          </w:p>
        </w:tc>
      </w:tr>
      <w:tr w:rsidR="007C50D0" w:rsidRPr="007C50D0" w:rsidTr="00FC541F">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9</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Бавлы</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1110</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Советский</w:t>
            </w:r>
          </w:p>
        </w:tc>
        <w:tc>
          <w:tcPr>
            <w:tcW w:w="709"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248</w:t>
            </w:r>
          </w:p>
        </w:tc>
        <w:tc>
          <w:tcPr>
            <w:tcW w:w="2126"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Бугульма</w:t>
            </w:r>
          </w:p>
        </w:tc>
        <w:tc>
          <w:tcPr>
            <w:tcW w:w="850" w:type="dxa"/>
            <w:tcBorders>
              <w:top w:val="nil"/>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2883</w:t>
            </w:r>
          </w:p>
        </w:tc>
      </w:tr>
      <w:tr w:rsidR="007C50D0" w:rsidRPr="007C50D0" w:rsidTr="00FC541F">
        <w:trPr>
          <w:trHeight w:val="62"/>
        </w:trPr>
        <w:tc>
          <w:tcPr>
            <w:tcW w:w="567" w:type="dxa"/>
            <w:tcBorders>
              <w:top w:val="nil"/>
              <w:left w:val="double" w:sz="6" w:space="0" w:color="auto"/>
              <w:bottom w:val="double" w:sz="6"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10</w:t>
            </w:r>
          </w:p>
        </w:tc>
        <w:tc>
          <w:tcPr>
            <w:tcW w:w="2268" w:type="dxa"/>
            <w:tcBorders>
              <w:top w:val="nil"/>
              <w:left w:val="nil"/>
              <w:bottom w:val="double" w:sz="6"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Приволжский</w:t>
            </w:r>
          </w:p>
        </w:tc>
        <w:tc>
          <w:tcPr>
            <w:tcW w:w="709" w:type="dxa"/>
            <w:tcBorders>
              <w:top w:val="nil"/>
              <w:left w:val="nil"/>
              <w:bottom w:val="double" w:sz="6"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1105</w:t>
            </w:r>
          </w:p>
        </w:tc>
        <w:tc>
          <w:tcPr>
            <w:tcW w:w="2268" w:type="dxa"/>
            <w:tcBorders>
              <w:top w:val="nil"/>
              <w:left w:val="nil"/>
              <w:bottom w:val="double" w:sz="6"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Елабуга</w:t>
            </w:r>
          </w:p>
        </w:tc>
        <w:tc>
          <w:tcPr>
            <w:tcW w:w="709" w:type="dxa"/>
            <w:tcBorders>
              <w:top w:val="nil"/>
              <w:left w:val="nil"/>
              <w:bottom w:val="double" w:sz="6" w:space="0" w:color="auto"/>
              <w:right w:val="single" w:sz="4"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71</w:t>
            </w:r>
          </w:p>
        </w:tc>
        <w:tc>
          <w:tcPr>
            <w:tcW w:w="2126" w:type="dxa"/>
            <w:tcBorders>
              <w:top w:val="nil"/>
              <w:left w:val="nil"/>
              <w:bottom w:val="double" w:sz="6"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proofErr w:type="spellStart"/>
            <w:r w:rsidRPr="007C50D0">
              <w:rPr>
                <w:color w:val="000000"/>
                <w:sz w:val="24"/>
                <w:szCs w:val="24"/>
              </w:rPr>
              <w:t>Вахитовский</w:t>
            </w:r>
            <w:proofErr w:type="spellEnd"/>
          </w:p>
        </w:tc>
        <w:tc>
          <w:tcPr>
            <w:tcW w:w="850" w:type="dxa"/>
            <w:tcBorders>
              <w:top w:val="nil"/>
              <w:left w:val="nil"/>
              <w:bottom w:val="double" w:sz="6" w:space="0" w:color="auto"/>
              <w:right w:val="double" w:sz="6" w:space="0" w:color="auto"/>
            </w:tcBorders>
            <w:shd w:val="clear" w:color="auto" w:fill="auto"/>
            <w:noWrap/>
            <w:vAlign w:val="center"/>
          </w:tcPr>
          <w:p w:rsidR="007C50D0" w:rsidRPr="007C50D0" w:rsidRDefault="007C50D0" w:rsidP="008619A6">
            <w:pPr>
              <w:contextualSpacing/>
              <w:jc w:val="center"/>
              <w:rPr>
                <w:b/>
                <w:i/>
                <w:sz w:val="24"/>
                <w:szCs w:val="24"/>
              </w:rPr>
            </w:pPr>
            <w:r w:rsidRPr="007C50D0">
              <w:rPr>
                <w:b/>
                <w:i/>
                <w:sz w:val="24"/>
                <w:szCs w:val="24"/>
              </w:rPr>
              <w:t>2575</w:t>
            </w:r>
          </w:p>
        </w:tc>
      </w:tr>
    </w:tbl>
    <w:p w:rsidR="007C50D0" w:rsidRPr="007C50D0" w:rsidRDefault="007C50D0" w:rsidP="008619A6">
      <w:pPr>
        <w:ind w:firstLine="851"/>
        <w:contextualSpacing/>
        <w:jc w:val="both"/>
        <w:rPr>
          <w:sz w:val="28"/>
          <w:szCs w:val="28"/>
        </w:rPr>
      </w:pPr>
      <w:r w:rsidRPr="007C50D0">
        <w:rPr>
          <w:sz w:val="28"/>
          <w:szCs w:val="28"/>
        </w:rPr>
        <w:t xml:space="preserve">В Таблице </w:t>
      </w:r>
      <w:r w:rsidR="00FC541F">
        <w:rPr>
          <w:sz w:val="28"/>
          <w:szCs w:val="28"/>
        </w:rPr>
        <w:t>43</w:t>
      </w:r>
      <w:r w:rsidRPr="007C50D0">
        <w:rPr>
          <w:sz w:val="28"/>
          <w:szCs w:val="28"/>
        </w:rPr>
        <w:t xml:space="preserve"> представлены данные о категориях гражданских дел, которые чаще других рассматривались мировыми судьями в 2016 и 2017 годах.</w:t>
      </w:r>
    </w:p>
    <w:p w:rsidR="007C50D0" w:rsidRPr="007C50D0" w:rsidRDefault="007C50D0" w:rsidP="008619A6">
      <w:pPr>
        <w:ind w:firstLine="851"/>
        <w:contextualSpacing/>
        <w:jc w:val="both"/>
        <w:rPr>
          <w:sz w:val="28"/>
          <w:szCs w:val="28"/>
        </w:rPr>
      </w:pPr>
      <w:r w:rsidRPr="007C50D0">
        <w:rPr>
          <w:sz w:val="24"/>
          <w:szCs w:val="24"/>
        </w:rPr>
        <w:t xml:space="preserve">                                                                                                                        Таблица </w:t>
      </w:r>
      <w:r w:rsidR="00F8243A">
        <w:rPr>
          <w:sz w:val="24"/>
          <w:szCs w:val="24"/>
        </w:rPr>
        <w:t>4</w:t>
      </w:r>
      <w:r w:rsidR="00E45BEB">
        <w:rPr>
          <w:sz w:val="24"/>
          <w:szCs w:val="24"/>
        </w:rPr>
        <w:t>3</w:t>
      </w:r>
    </w:p>
    <w:tbl>
      <w:tblPr>
        <w:tblpPr w:leftFromText="180" w:rightFromText="180" w:vertAnchor="text" w:horzAnchor="margin" w:tblpXSpec="right" w:tblpY="191"/>
        <w:tblW w:w="9180" w:type="dxa"/>
        <w:shd w:val="clear" w:color="auto" w:fill="FFFFFF"/>
        <w:tblLayout w:type="fixed"/>
        <w:tblLook w:val="0000" w:firstRow="0" w:lastRow="0" w:firstColumn="0" w:lastColumn="0" w:noHBand="0" w:noVBand="0"/>
      </w:tblPr>
      <w:tblGrid>
        <w:gridCol w:w="817"/>
        <w:gridCol w:w="961"/>
        <w:gridCol w:w="1024"/>
        <w:gridCol w:w="1440"/>
        <w:gridCol w:w="1536"/>
        <w:gridCol w:w="1132"/>
        <w:gridCol w:w="1349"/>
        <w:gridCol w:w="921"/>
      </w:tblGrid>
      <w:tr w:rsidR="007C50D0" w:rsidRPr="007C50D0" w:rsidTr="00FA4BB9">
        <w:trPr>
          <w:trHeight w:val="241"/>
        </w:trPr>
        <w:tc>
          <w:tcPr>
            <w:tcW w:w="9180" w:type="dxa"/>
            <w:gridSpan w:val="8"/>
            <w:tcBorders>
              <w:top w:val="double" w:sz="6" w:space="0" w:color="auto"/>
              <w:left w:val="double" w:sz="6" w:space="0" w:color="auto"/>
              <w:bottom w:val="single" w:sz="4" w:space="0" w:color="auto"/>
              <w:right w:val="double" w:sz="6" w:space="0" w:color="000000"/>
            </w:tcBorders>
            <w:shd w:val="clear" w:color="auto" w:fill="FFFFFF"/>
            <w:vAlign w:val="center"/>
          </w:tcPr>
          <w:p w:rsidR="007C50D0" w:rsidRPr="007C50D0" w:rsidRDefault="007C50D0" w:rsidP="008619A6">
            <w:pPr>
              <w:contextualSpacing/>
              <w:jc w:val="center"/>
              <w:rPr>
                <w:b/>
                <w:bCs/>
                <w:sz w:val="22"/>
                <w:szCs w:val="22"/>
              </w:rPr>
            </w:pPr>
            <w:r w:rsidRPr="007C50D0">
              <w:rPr>
                <w:b/>
                <w:bCs/>
                <w:sz w:val="22"/>
                <w:szCs w:val="22"/>
              </w:rPr>
              <w:t>Категории гражданских дел, рассмотренных за 12 месяцев</w:t>
            </w:r>
          </w:p>
        </w:tc>
      </w:tr>
      <w:tr w:rsidR="007C50D0" w:rsidRPr="007C50D0" w:rsidTr="00FA4BB9">
        <w:trPr>
          <w:trHeight w:val="272"/>
        </w:trPr>
        <w:tc>
          <w:tcPr>
            <w:tcW w:w="817" w:type="dxa"/>
            <w:tcBorders>
              <w:top w:val="single" w:sz="4" w:space="0" w:color="auto"/>
              <w:left w:val="double" w:sz="6" w:space="0" w:color="auto"/>
              <w:bottom w:val="thickThinLargeGap" w:sz="24" w:space="0" w:color="auto"/>
              <w:right w:val="single" w:sz="8" w:space="0" w:color="auto"/>
            </w:tcBorders>
            <w:shd w:val="clear" w:color="auto" w:fill="FFFFFF"/>
          </w:tcPr>
          <w:p w:rsidR="007C50D0" w:rsidRPr="007C50D0" w:rsidRDefault="007C50D0" w:rsidP="008619A6">
            <w:pPr>
              <w:contextualSpacing/>
              <w:jc w:val="center"/>
              <w:rPr>
                <w:b/>
                <w:bCs/>
              </w:rPr>
            </w:pPr>
          </w:p>
        </w:tc>
        <w:tc>
          <w:tcPr>
            <w:tcW w:w="961" w:type="dxa"/>
            <w:tcBorders>
              <w:top w:val="single" w:sz="4" w:space="0" w:color="auto"/>
              <w:left w:val="nil"/>
              <w:bottom w:val="thickThinLargeGap" w:sz="24" w:space="0" w:color="auto"/>
              <w:right w:val="single" w:sz="4" w:space="0" w:color="auto"/>
            </w:tcBorders>
            <w:shd w:val="clear" w:color="auto" w:fill="FFFFFF"/>
          </w:tcPr>
          <w:p w:rsidR="007C50D0" w:rsidRPr="007C50D0" w:rsidRDefault="007C50D0" w:rsidP="008619A6">
            <w:pPr>
              <w:contextualSpacing/>
              <w:jc w:val="center"/>
              <w:rPr>
                <w:b/>
                <w:bCs/>
                <w:sz w:val="24"/>
                <w:szCs w:val="24"/>
              </w:rPr>
            </w:pPr>
            <w:r w:rsidRPr="007C50D0">
              <w:rPr>
                <w:b/>
                <w:bCs/>
                <w:sz w:val="24"/>
                <w:szCs w:val="24"/>
              </w:rPr>
              <w:t>Брачно-семейные  споры</w:t>
            </w:r>
          </w:p>
        </w:tc>
        <w:tc>
          <w:tcPr>
            <w:tcW w:w="1024" w:type="dxa"/>
            <w:tcBorders>
              <w:top w:val="single" w:sz="4" w:space="0" w:color="auto"/>
              <w:left w:val="single" w:sz="4" w:space="0" w:color="auto"/>
              <w:bottom w:val="thickThinLargeGap" w:sz="24" w:space="0" w:color="auto"/>
              <w:right w:val="single" w:sz="8" w:space="0" w:color="auto"/>
            </w:tcBorders>
            <w:shd w:val="clear" w:color="auto" w:fill="FFFFFF"/>
          </w:tcPr>
          <w:p w:rsidR="007C50D0" w:rsidRPr="007C50D0" w:rsidRDefault="007C50D0" w:rsidP="008619A6">
            <w:pPr>
              <w:contextualSpacing/>
              <w:jc w:val="center"/>
              <w:rPr>
                <w:b/>
                <w:bCs/>
                <w:sz w:val="22"/>
                <w:szCs w:val="22"/>
              </w:rPr>
            </w:pPr>
            <w:r w:rsidRPr="007C50D0">
              <w:rPr>
                <w:b/>
                <w:bCs/>
                <w:sz w:val="22"/>
                <w:szCs w:val="22"/>
              </w:rPr>
              <w:t>Трудовые споры</w:t>
            </w:r>
          </w:p>
        </w:tc>
        <w:tc>
          <w:tcPr>
            <w:tcW w:w="1440" w:type="dxa"/>
            <w:tcBorders>
              <w:top w:val="single" w:sz="4" w:space="0" w:color="auto"/>
              <w:left w:val="nil"/>
              <w:bottom w:val="thickThinLargeGap" w:sz="24" w:space="0" w:color="auto"/>
              <w:right w:val="single" w:sz="8" w:space="0" w:color="auto"/>
            </w:tcBorders>
            <w:shd w:val="clear" w:color="auto" w:fill="FFFFFF"/>
          </w:tcPr>
          <w:p w:rsidR="007C50D0" w:rsidRPr="007C50D0" w:rsidRDefault="007C50D0" w:rsidP="008619A6">
            <w:pPr>
              <w:contextualSpacing/>
              <w:jc w:val="center"/>
              <w:rPr>
                <w:b/>
                <w:bCs/>
                <w:sz w:val="22"/>
                <w:szCs w:val="22"/>
              </w:rPr>
            </w:pPr>
            <w:r w:rsidRPr="007C50D0">
              <w:rPr>
                <w:b/>
                <w:bCs/>
                <w:sz w:val="22"/>
                <w:szCs w:val="22"/>
              </w:rPr>
              <w:t>Иски о защите прав потребителей</w:t>
            </w:r>
          </w:p>
        </w:tc>
        <w:tc>
          <w:tcPr>
            <w:tcW w:w="1536" w:type="dxa"/>
            <w:tcBorders>
              <w:top w:val="single" w:sz="4" w:space="0" w:color="auto"/>
              <w:left w:val="nil"/>
              <w:bottom w:val="thickThinLargeGap" w:sz="24" w:space="0" w:color="auto"/>
              <w:right w:val="single" w:sz="8" w:space="0" w:color="auto"/>
            </w:tcBorders>
            <w:shd w:val="clear" w:color="auto" w:fill="FFFFFF"/>
          </w:tcPr>
          <w:p w:rsidR="007C50D0" w:rsidRPr="007C50D0" w:rsidRDefault="007C50D0" w:rsidP="008619A6">
            <w:pPr>
              <w:contextualSpacing/>
              <w:jc w:val="center"/>
              <w:rPr>
                <w:b/>
                <w:bCs/>
                <w:sz w:val="22"/>
                <w:szCs w:val="22"/>
              </w:rPr>
            </w:pPr>
            <w:r w:rsidRPr="007C50D0">
              <w:rPr>
                <w:b/>
                <w:bCs/>
                <w:sz w:val="22"/>
                <w:szCs w:val="22"/>
              </w:rPr>
              <w:t xml:space="preserve">О взыскании платы за </w:t>
            </w:r>
            <w:proofErr w:type="gramStart"/>
            <w:r w:rsidRPr="007C50D0">
              <w:rPr>
                <w:b/>
                <w:bCs/>
                <w:sz w:val="22"/>
                <w:szCs w:val="22"/>
              </w:rPr>
              <w:t>жилую</w:t>
            </w:r>
            <w:proofErr w:type="gramEnd"/>
          </w:p>
          <w:p w:rsidR="007C50D0" w:rsidRPr="007C50D0" w:rsidRDefault="007C50D0" w:rsidP="008619A6">
            <w:pPr>
              <w:contextualSpacing/>
              <w:jc w:val="center"/>
              <w:rPr>
                <w:b/>
                <w:bCs/>
                <w:sz w:val="22"/>
                <w:szCs w:val="22"/>
              </w:rPr>
            </w:pPr>
            <w:r w:rsidRPr="007C50D0">
              <w:rPr>
                <w:b/>
                <w:bCs/>
                <w:sz w:val="22"/>
                <w:szCs w:val="22"/>
              </w:rPr>
              <w:t>площадь и коммунальные платежи</w:t>
            </w:r>
          </w:p>
        </w:tc>
        <w:tc>
          <w:tcPr>
            <w:tcW w:w="1132" w:type="dxa"/>
            <w:tcBorders>
              <w:top w:val="single" w:sz="4" w:space="0" w:color="auto"/>
              <w:left w:val="nil"/>
              <w:bottom w:val="thickThinLargeGap" w:sz="24" w:space="0" w:color="auto"/>
              <w:right w:val="single" w:sz="8" w:space="0" w:color="auto"/>
            </w:tcBorders>
            <w:shd w:val="clear" w:color="auto" w:fill="FFFFFF"/>
          </w:tcPr>
          <w:p w:rsidR="007C50D0" w:rsidRPr="007C50D0" w:rsidRDefault="007C50D0" w:rsidP="008619A6">
            <w:pPr>
              <w:contextualSpacing/>
              <w:jc w:val="center"/>
              <w:rPr>
                <w:b/>
                <w:bCs/>
                <w:sz w:val="22"/>
                <w:szCs w:val="22"/>
              </w:rPr>
            </w:pPr>
            <w:r w:rsidRPr="007C50D0">
              <w:rPr>
                <w:b/>
                <w:bCs/>
                <w:sz w:val="22"/>
                <w:szCs w:val="22"/>
              </w:rPr>
              <w:t>Иски о возмещении ущерба от ДТП</w:t>
            </w:r>
          </w:p>
        </w:tc>
        <w:tc>
          <w:tcPr>
            <w:tcW w:w="1349" w:type="dxa"/>
            <w:tcBorders>
              <w:top w:val="single" w:sz="4" w:space="0" w:color="auto"/>
              <w:left w:val="nil"/>
              <w:bottom w:val="thickThinLargeGap" w:sz="24" w:space="0" w:color="auto"/>
              <w:right w:val="single" w:sz="8" w:space="0" w:color="auto"/>
            </w:tcBorders>
            <w:shd w:val="clear" w:color="auto" w:fill="FFFFFF"/>
          </w:tcPr>
          <w:p w:rsidR="007C50D0" w:rsidRPr="007C50D0" w:rsidRDefault="007C50D0" w:rsidP="008619A6">
            <w:pPr>
              <w:contextualSpacing/>
              <w:jc w:val="center"/>
              <w:rPr>
                <w:b/>
                <w:bCs/>
                <w:sz w:val="22"/>
                <w:szCs w:val="22"/>
              </w:rPr>
            </w:pPr>
            <w:r w:rsidRPr="007C50D0">
              <w:rPr>
                <w:b/>
                <w:bCs/>
                <w:sz w:val="22"/>
                <w:szCs w:val="22"/>
              </w:rPr>
              <w:t>Иски о взыскании сумм по договору займа</w:t>
            </w:r>
          </w:p>
        </w:tc>
        <w:tc>
          <w:tcPr>
            <w:tcW w:w="921" w:type="dxa"/>
            <w:tcBorders>
              <w:top w:val="single" w:sz="4" w:space="0" w:color="auto"/>
              <w:left w:val="nil"/>
              <w:bottom w:val="thickThinLargeGap" w:sz="24" w:space="0" w:color="auto"/>
              <w:right w:val="double" w:sz="6" w:space="0" w:color="auto"/>
            </w:tcBorders>
            <w:shd w:val="clear" w:color="auto" w:fill="FFFFFF"/>
          </w:tcPr>
          <w:p w:rsidR="007C50D0" w:rsidRPr="007C50D0" w:rsidRDefault="007C50D0" w:rsidP="008619A6">
            <w:pPr>
              <w:contextualSpacing/>
              <w:jc w:val="center"/>
              <w:rPr>
                <w:b/>
                <w:bCs/>
                <w:sz w:val="22"/>
                <w:szCs w:val="22"/>
              </w:rPr>
            </w:pPr>
            <w:r w:rsidRPr="007C50D0">
              <w:rPr>
                <w:b/>
                <w:bCs/>
                <w:sz w:val="22"/>
                <w:szCs w:val="22"/>
              </w:rPr>
              <w:t>Иные гражданские дела</w:t>
            </w:r>
          </w:p>
        </w:tc>
      </w:tr>
      <w:tr w:rsidR="007C50D0" w:rsidRPr="007C50D0" w:rsidTr="00FA4BB9">
        <w:trPr>
          <w:trHeight w:val="47"/>
        </w:trPr>
        <w:tc>
          <w:tcPr>
            <w:tcW w:w="817" w:type="dxa"/>
            <w:tcBorders>
              <w:top w:val="thickThinLargeGap" w:sz="24" w:space="0" w:color="auto"/>
              <w:left w:val="double" w:sz="6" w:space="0" w:color="auto"/>
              <w:bottom w:val="nil"/>
              <w:right w:val="single" w:sz="4" w:space="0" w:color="auto"/>
            </w:tcBorders>
            <w:shd w:val="clear" w:color="auto" w:fill="FFFFFF"/>
          </w:tcPr>
          <w:p w:rsidR="007C50D0" w:rsidRPr="007C50D0" w:rsidRDefault="007C50D0" w:rsidP="008619A6">
            <w:pPr>
              <w:contextualSpacing/>
              <w:jc w:val="center"/>
              <w:rPr>
                <w:b/>
                <w:bCs/>
                <w:sz w:val="24"/>
                <w:szCs w:val="24"/>
              </w:rPr>
            </w:pPr>
            <w:r w:rsidRPr="007C50D0">
              <w:rPr>
                <w:b/>
                <w:bCs/>
                <w:sz w:val="24"/>
                <w:szCs w:val="24"/>
              </w:rPr>
              <w:t>2016</w:t>
            </w:r>
          </w:p>
        </w:tc>
        <w:tc>
          <w:tcPr>
            <w:tcW w:w="961" w:type="dxa"/>
            <w:tcBorders>
              <w:top w:val="thickThinLargeGap" w:sz="24" w:space="0" w:color="auto"/>
              <w:left w:val="single" w:sz="4" w:space="0" w:color="auto"/>
              <w:bottom w:val="nil"/>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24168</w:t>
            </w:r>
          </w:p>
        </w:tc>
        <w:tc>
          <w:tcPr>
            <w:tcW w:w="1024" w:type="dxa"/>
            <w:tcBorders>
              <w:top w:val="thickThinLargeGap" w:sz="24" w:space="0" w:color="auto"/>
              <w:left w:val="single" w:sz="4" w:space="0" w:color="auto"/>
              <w:bottom w:val="nil"/>
              <w:right w:val="single" w:sz="4" w:space="0" w:color="auto"/>
            </w:tcBorders>
            <w:shd w:val="clear" w:color="auto" w:fill="FFFFFF"/>
          </w:tcPr>
          <w:p w:rsidR="007C50D0" w:rsidRPr="007C50D0" w:rsidRDefault="007C50D0" w:rsidP="008619A6">
            <w:pPr>
              <w:contextualSpacing/>
              <w:jc w:val="center"/>
              <w:rPr>
                <w:i/>
                <w:sz w:val="22"/>
                <w:szCs w:val="22"/>
              </w:rPr>
            </w:pPr>
            <w:r w:rsidRPr="007C50D0">
              <w:rPr>
                <w:i/>
                <w:sz w:val="22"/>
                <w:szCs w:val="22"/>
              </w:rPr>
              <w:t>8920</w:t>
            </w:r>
          </w:p>
        </w:tc>
        <w:tc>
          <w:tcPr>
            <w:tcW w:w="1440" w:type="dxa"/>
            <w:tcBorders>
              <w:top w:val="thickThinLargeGap" w:sz="24" w:space="0" w:color="auto"/>
              <w:left w:val="single" w:sz="4" w:space="0" w:color="auto"/>
              <w:bottom w:val="nil"/>
              <w:right w:val="single" w:sz="4" w:space="0" w:color="auto"/>
            </w:tcBorders>
            <w:shd w:val="clear" w:color="auto" w:fill="FFFFFF"/>
          </w:tcPr>
          <w:p w:rsidR="007C50D0" w:rsidRPr="007C50D0" w:rsidRDefault="007C50D0" w:rsidP="008619A6">
            <w:pPr>
              <w:contextualSpacing/>
              <w:jc w:val="center"/>
              <w:rPr>
                <w:i/>
                <w:sz w:val="22"/>
                <w:szCs w:val="22"/>
              </w:rPr>
            </w:pPr>
            <w:r w:rsidRPr="007C50D0">
              <w:rPr>
                <w:i/>
                <w:sz w:val="22"/>
                <w:szCs w:val="22"/>
              </w:rPr>
              <w:t>4627</w:t>
            </w:r>
          </w:p>
        </w:tc>
        <w:tc>
          <w:tcPr>
            <w:tcW w:w="1536" w:type="dxa"/>
            <w:tcBorders>
              <w:top w:val="thickThinLargeGap" w:sz="24" w:space="0" w:color="auto"/>
              <w:left w:val="single" w:sz="4" w:space="0" w:color="auto"/>
              <w:bottom w:val="nil"/>
              <w:right w:val="single" w:sz="4" w:space="0" w:color="auto"/>
            </w:tcBorders>
            <w:shd w:val="clear" w:color="auto" w:fill="FFFFFF"/>
          </w:tcPr>
          <w:p w:rsidR="007C50D0" w:rsidRPr="007C50D0" w:rsidRDefault="007C50D0" w:rsidP="008619A6">
            <w:pPr>
              <w:contextualSpacing/>
              <w:jc w:val="center"/>
              <w:rPr>
                <w:i/>
                <w:sz w:val="22"/>
                <w:szCs w:val="22"/>
              </w:rPr>
            </w:pPr>
            <w:r w:rsidRPr="007C50D0">
              <w:rPr>
                <w:i/>
                <w:sz w:val="22"/>
                <w:szCs w:val="22"/>
              </w:rPr>
              <w:t>39468</w:t>
            </w:r>
          </w:p>
        </w:tc>
        <w:tc>
          <w:tcPr>
            <w:tcW w:w="1132" w:type="dxa"/>
            <w:tcBorders>
              <w:top w:val="thickThinLargeGap" w:sz="24" w:space="0" w:color="auto"/>
              <w:left w:val="single" w:sz="4" w:space="0" w:color="auto"/>
              <w:bottom w:val="nil"/>
              <w:right w:val="single" w:sz="4" w:space="0" w:color="auto"/>
            </w:tcBorders>
            <w:shd w:val="clear" w:color="auto" w:fill="FFFFFF"/>
          </w:tcPr>
          <w:p w:rsidR="007C50D0" w:rsidRPr="007C50D0" w:rsidRDefault="007C50D0" w:rsidP="008619A6">
            <w:pPr>
              <w:contextualSpacing/>
              <w:jc w:val="center"/>
              <w:rPr>
                <w:i/>
                <w:sz w:val="22"/>
                <w:szCs w:val="22"/>
              </w:rPr>
            </w:pPr>
            <w:r w:rsidRPr="007C50D0">
              <w:rPr>
                <w:i/>
                <w:sz w:val="22"/>
                <w:szCs w:val="22"/>
              </w:rPr>
              <w:t>3886</w:t>
            </w:r>
          </w:p>
        </w:tc>
        <w:tc>
          <w:tcPr>
            <w:tcW w:w="1349" w:type="dxa"/>
            <w:tcBorders>
              <w:top w:val="thickThinLargeGap" w:sz="24" w:space="0" w:color="auto"/>
              <w:left w:val="single" w:sz="4" w:space="0" w:color="auto"/>
              <w:bottom w:val="nil"/>
              <w:right w:val="single" w:sz="4" w:space="0" w:color="auto"/>
            </w:tcBorders>
            <w:shd w:val="clear" w:color="auto" w:fill="FFFFFF"/>
          </w:tcPr>
          <w:p w:rsidR="007C50D0" w:rsidRPr="007C50D0" w:rsidRDefault="007C50D0" w:rsidP="008619A6">
            <w:pPr>
              <w:contextualSpacing/>
              <w:jc w:val="center"/>
              <w:rPr>
                <w:i/>
                <w:sz w:val="22"/>
                <w:szCs w:val="22"/>
              </w:rPr>
            </w:pPr>
            <w:r w:rsidRPr="007C50D0">
              <w:rPr>
                <w:i/>
                <w:sz w:val="22"/>
                <w:szCs w:val="22"/>
              </w:rPr>
              <w:t>98052</w:t>
            </w:r>
          </w:p>
        </w:tc>
        <w:tc>
          <w:tcPr>
            <w:tcW w:w="921" w:type="dxa"/>
            <w:tcBorders>
              <w:top w:val="thickThinLargeGap" w:sz="24" w:space="0" w:color="auto"/>
              <w:left w:val="single" w:sz="4" w:space="0" w:color="auto"/>
              <w:bottom w:val="nil"/>
              <w:right w:val="double" w:sz="6" w:space="0" w:color="auto"/>
            </w:tcBorders>
            <w:shd w:val="clear" w:color="auto" w:fill="FFFFFF"/>
          </w:tcPr>
          <w:p w:rsidR="007C50D0" w:rsidRPr="007C50D0" w:rsidRDefault="007C50D0" w:rsidP="008619A6">
            <w:pPr>
              <w:contextualSpacing/>
              <w:jc w:val="center"/>
              <w:rPr>
                <w:i/>
                <w:sz w:val="22"/>
                <w:szCs w:val="22"/>
              </w:rPr>
            </w:pPr>
            <w:r w:rsidRPr="007C50D0">
              <w:rPr>
                <w:i/>
                <w:sz w:val="22"/>
                <w:szCs w:val="22"/>
              </w:rPr>
              <w:t>34127</w:t>
            </w:r>
          </w:p>
        </w:tc>
      </w:tr>
      <w:tr w:rsidR="007C50D0" w:rsidRPr="007C50D0" w:rsidTr="00FA4BB9">
        <w:trPr>
          <w:trHeight w:val="72"/>
        </w:trPr>
        <w:tc>
          <w:tcPr>
            <w:tcW w:w="817" w:type="dxa"/>
            <w:tcBorders>
              <w:top w:val="nil"/>
              <w:left w:val="double" w:sz="6"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sz w:val="22"/>
                <w:szCs w:val="22"/>
              </w:rPr>
            </w:pPr>
            <w:r w:rsidRPr="007C50D0">
              <w:rPr>
                <w:b/>
                <w:bCs/>
                <w:sz w:val="22"/>
                <w:szCs w:val="22"/>
              </w:rPr>
              <w:t>%</w:t>
            </w:r>
          </w:p>
        </w:tc>
        <w:tc>
          <w:tcPr>
            <w:tcW w:w="961" w:type="dxa"/>
            <w:tcBorders>
              <w:top w:val="nil"/>
              <w:left w:val="single" w:sz="4"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i/>
                <w:sz w:val="24"/>
                <w:szCs w:val="24"/>
              </w:rPr>
            </w:pPr>
            <w:r w:rsidRPr="007C50D0">
              <w:rPr>
                <w:b/>
                <w:bCs/>
                <w:i/>
                <w:sz w:val="24"/>
                <w:szCs w:val="24"/>
              </w:rPr>
              <w:t>11</w:t>
            </w:r>
            <w:r w:rsidR="00FA4BB9">
              <w:rPr>
                <w:b/>
                <w:bCs/>
                <w:i/>
                <w:sz w:val="24"/>
                <w:szCs w:val="24"/>
              </w:rPr>
              <w:t>,0</w:t>
            </w:r>
          </w:p>
        </w:tc>
        <w:tc>
          <w:tcPr>
            <w:tcW w:w="1024" w:type="dxa"/>
            <w:tcBorders>
              <w:top w:val="nil"/>
              <w:left w:val="single" w:sz="4"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i/>
                <w:sz w:val="22"/>
                <w:szCs w:val="22"/>
              </w:rPr>
            </w:pPr>
            <w:r w:rsidRPr="007C50D0">
              <w:rPr>
                <w:b/>
                <w:bCs/>
                <w:i/>
                <w:sz w:val="22"/>
                <w:szCs w:val="22"/>
              </w:rPr>
              <w:t>4</w:t>
            </w:r>
            <w:r w:rsidR="00FA4BB9">
              <w:rPr>
                <w:b/>
                <w:bCs/>
                <w:i/>
                <w:sz w:val="22"/>
                <w:szCs w:val="22"/>
              </w:rPr>
              <w:t>,0</w:t>
            </w:r>
          </w:p>
        </w:tc>
        <w:tc>
          <w:tcPr>
            <w:tcW w:w="1440" w:type="dxa"/>
            <w:tcBorders>
              <w:top w:val="nil"/>
              <w:left w:val="single" w:sz="4"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i/>
                <w:sz w:val="22"/>
                <w:szCs w:val="22"/>
              </w:rPr>
            </w:pPr>
            <w:r w:rsidRPr="007C50D0">
              <w:rPr>
                <w:b/>
                <w:bCs/>
                <w:i/>
                <w:sz w:val="22"/>
                <w:szCs w:val="22"/>
              </w:rPr>
              <w:t>2,1</w:t>
            </w:r>
          </w:p>
        </w:tc>
        <w:tc>
          <w:tcPr>
            <w:tcW w:w="1536" w:type="dxa"/>
            <w:tcBorders>
              <w:top w:val="nil"/>
              <w:left w:val="single" w:sz="4"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i/>
                <w:sz w:val="22"/>
                <w:szCs w:val="22"/>
              </w:rPr>
            </w:pPr>
            <w:r w:rsidRPr="007C50D0">
              <w:rPr>
                <w:b/>
                <w:bCs/>
                <w:i/>
                <w:sz w:val="22"/>
                <w:szCs w:val="22"/>
              </w:rPr>
              <w:t>17,9</w:t>
            </w:r>
          </w:p>
        </w:tc>
        <w:tc>
          <w:tcPr>
            <w:tcW w:w="1132" w:type="dxa"/>
            <w:tcBorders>
              <w:top w:val="nil"/>
              <w:left w:val="single" w:sz="4"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i/>
                <w:sz w:val="22"/>
                <w:szCs w:val="22"/>
              </w:rPr>
            </w:pPr>
            <w:r w:rsidRPr="007C50D0">
              <w:rPr>
                <w:b/>
                <w:bCs/>
                <w:i/>
                <w:sz w:val="22"/>
                <w:szCs w:val="22"/>
              </w:rPr>
              <w:t>1,8</w:t>
            </w:r>
          </w:p>
        </w:tc>
        <w:tc>
          <w:tcPr>
            <w:tcW w:w="1349" w:type="dxa"/>
            <w:tcBorders>
              <w:top w:val="nil"/>
              <w:left w:val="single" w:sz="4"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i/>
                <w:sz w:val="22"/>
                <w:szCs w:val="22"/>
              </w:rPr>
            </w:pPr>
            <w:r w:rsidRPr="007C50D0">
              <w:rPr>
                <w:b/>
                <w:bCs/>
                <w:i/>
                <w:sz w:val="22"/>
                <w:szCs w:val="22"/>
              </w:rPr>
              <w:t>44,5</w:t>
            </w:r>
          </w:p>
        </w:tc>
        <w:tc>
          <w:tcPr>
            <w:tcW w:w="921" w:type="dxa"/>
            <w:tcBorders>
              <w:top w:val="nil"/>
              <w:left w:val="single" w:sz="4" w:space="0" w:color="auto"/>
              <w:bottom w:val="double" w:sz="6" w:space="0" w:color="auto"/>
              <w:right w:val="double" w:sz="6" w:space="0" w:color="auto"/>
            </w:tcBorders>
            <w:shd w:val="clear" w:color="auto" w:fill="FFFFFF"/>
          </w:tcPr>
          <w:p w:rsidR="007C50D0" w:rsidRPr="007C50D0" w:rsidRDefault="007C50D0" w:rsidP="008619A6">
            <w:pPr>
              <w:contextualSpacing/>
              <w:jc w:val="center"/>
              <w:rPr>
                <w:b/>
                <w:bCs/>
                <w:i/>
                <w:sz w:val="22"/>
                <w:szCs w:val="22"/>
              </w:rPr>
            </w:pPr>
            <w:r w:rsidRPr="007C50D0">
              <w:rPr>
                <w:b/>
                <w:bCs/>
                <w:i/>
                <w:sz w:val="22"/>
                <w:szCs w:val="22"/>
              </w:rPr>
              <w:t>15,5</w:t>
            </w:r>
          </w:p>
        </w:tc>
      </w:tr>
      <w:tr w:rsidR="007C50D0" w:rsidRPr="007C50D0" w:rsidTr="00FA4BB9">
        <w:trPr>
          <w:trHeight w:val="103"/>
        </w:trPr>
        <w:tc>
          <w:tcPr>
            <w:tcW w:w="817" w:type="dxa"/>
            <w:tcBorders>
              <w:top w:val="nil"/>
              <w:left w:val="double" w:sz="6" w:space="0" w:color="auto"/>
              <w:bottom w:val="nil"/>
              <w:right w:val="single" w:sz="4" w:space="0" w:color="auto"/>
            </w:tcBorders>
            <w:shd w:val="clear" w:color="auto" w:fill="FFFFFF"/>
          </w:tcPr>
          <w:p w:rsidR="007C50D0" w:rsidRPr="007C50D0" w:rsidRDefault="007C50D0" w:rsidP="008619A6">
            <w:pPr>
              <w:contextualSpacing/>
              <w:jc w:val="center"/>
              <w:rPr>
                <w:b/>
                <w:bCs/>
                <w:sz w:val="24"/>
                <w:szCs w:val="24"/>
              </w:rPr>
            </w:pPr>
            <w:r w:rsidRPr="007C50D0">
              <w:rPr>
                <w:b/>
                <w:bCs/>
                <w:sz w:val="24"/>
                <w:szCs w:val="24"/>
              </w:rPr>
              <w:t>2017</w:t>
            </w:r>
          </w:p>
        </w:tc>
        <w:tc>
          <w:tcPr>
            <w:tcW w:w="961" w:type="dxa"/>
            <w:tcBorders>
              <w:top w:val="nil"/>
              <w:left w:val="single" w:sz="4" w:space="0" w:color="auto"/>
              <w:bottom w:val="nil"/>
              <w:right w:val="single" w:sz="4" w:space="0" w:color="auto"/>
            </w:tcBorders>
            <w:shd w:val="clear" w:color="auto" w:fill="FFFFFF"/>
          </w:tcPr>
          <w:p w:rsidR="007C50D0" w:rsidRPr="007C50D0" w:rsidRDefault="007C50D0" w:rsidP="008619A6">
            <w:pPr>
              <w:contextualSpacing/>
              <w:jc w:val="center"/>
              <w:rPr>
                <w:i/>
                <w:sz w:val="24"/>
                <w:szCs w:val="24"/>
              </w:rPr>
            </w:pPr>
            <w:r w:rsidRPr="007C50D0">
              <w:rPr>
                <w:i/>
                <w:sz w:val="24"/>
                <w:szCs w:val="24"/>
              </w:rPr>
              <w:t>23475</w:t>
            </w:r>
          </w:p>
        </w:tc>
        <w:tc>
          <w:tcPr>
            <w:tcW w:w="1024" w:type="dxa"/>
            <w:tcBorders>
              <w:top w:val="nil"/>
              <w:left w:val="single" w:sz="4" w:space="0" w:color="auto"/>
              <w:bottom w:val="nil"/>
              <w:right w:val="single" w:sz="4" w:space="0" w:color="auto"/>
            </w:tcBorders>
            <w:shd w:val="clear" w:color="auto" w:fill="FFFFFF"/>
          </w:tcPr>
          <w:p w:rsidR="007C50D0" w:rsidRPr="007C50D0" w:rsidRDefault="007C50D0" w:rsidP="008619A6">
            <w:pPr>
              <w:contextualSpacing/>
              <w:jc w:val="center"/>
              <w:rPr>
                <w:i/>
                <w:sz w:val="22"/>
                <w:szCs w:val="22"/>
              </w:rPr>
            </w:pPr>
            <w:r w:rsidRPr="007C50D0">
              <w:rPr>
                <w:i/>
                <w:sz w:val="22"/>
                <w:szCs w:val="22"/>
              </w:rPr>
              <w:t>6245</w:t>
            </w:r>
          </w:p>
        </w:tc>
        <w:tc>
          <w:tcPr>
            <w:tcW w:w="1440" w:type="dxa"/>
            <w:tcBorders>
              <w:top w:val="nil"/>
              <w:left w:val="single" w:sz="4" w:space="0" w:color="auto"/>
              <w:bottom w:val="nil"/>
              <w:right w:val="single" w:sz="4" w:space="0" w:color="auto"/>
            </w:tcBorders>
            <w:shd w:val="clear" w:color="auto" w:fill="FFFFFF"/>
          </w:tcPr>
          <w:p w:rsidR="007C50D0" w:rsidRPr="007C50D0" w:rsidRDefault="007C50D0" w:rsidP="008619A6">
            <w:pPr>
              <w:contextualSpacing/>
              <w:jc w:val="center"/>
              <w:rPr>
                <w:i/>
                <w:sz w:val="22"/>
                <w:szCs w:val="22"/>
              </w:rPr>
            </w:pPr>
            <w:r w:rsidRPr="007C50D0">
              <w:rPr>
                <w:i/>
                <w:sz w:val="22"/>
                <w:szCs w:val="22"/>
              </w:rPr>
              <w:t>4669</w:t>
            </w:r>
          </w:p>
        </w:tc>
        <w:tc>
          <w:tcPr>
            <w:tcW w:w="1536" w:type="dxa"/>
            <w:tcBorders>
              <w:top w:val="nil"/>
              <w:left w:val="single" w:sz="4" w:space="0" w:color="auto"/>
              <w:bottom w:val="nil"/>
              <w:right w:val="single" w:sz="4" w:space="0" w:color="auto"/>
            </w:tcBorders>
            <w:shd w:val="clear" w:color="auto" w:fill="FFFFFF"/>
          </w:tcPr>
          <w:p w:rsidR="007C50D0" w:rsidRPr="007C50D0" w:rsidRDefault="007C50D0" w:rsidP="008619A6">
            <w:pPr>
              <w:contextualSpacing/>
              <w:jc w:val="center"/>
              <w:rPr>
                <w:i/>
                <w:sz w:val="22"/>
                <w:szCs w:val="22"/>
              </w:rPr>
            </w:pPr>
            <w:r w:rsidRPr="007C50D0">
              <w:rPr>
                <w:i/>
                <w:sz w:val="22"/>
                <w:szCs w:val="22"/>
              </w:rPr>
              <w:t>36233</w:t>
            </w:r>
          </w:p>
        </w:tc>
        <w:tc>
          <w:tcPr>
            <w:tcW w:w="1132" w:type="dxa"/>
            <w:tcBorders>
              <w:top w:val="nil"/>
              <w:left w:val="single" w:sz="4" w:space="0" w:color="auto"/>
              <w:bottom w:val="nil"/>
              <w:right w:val="single" w:sz="4" w:space="0" w:color="auto"/>
            </w:tcBorders>
            <w:shd w:val="clear" w:color="auto" w:fill="FFFFFF"/>
          </w:tcPr>
          <w:p w:rsidR="007C50D0" w:rsidRPr="007C50D0" w:rsidRDefault="007C50D0" w:rsidP="008619A6">
            <w:pPr>
              <w:contextualSpacing/>
              <w:jc w:val="center"/>
              <w:rPr>
                <w:i/>
                <w:sz w:val="22"/>
                <w:szCs w:val="22"/>
              </w:rPr>
            </w:pPr>
            <w:r w:rsidRPr="007C50D0">
              <w:rPr>
                <w:i/>
                <w:sz w:val="22"/>
                <w:szCs w:val="22"/>
              </w:rPr>
              <w:t>2040</w:t>
            </w:r>
          </w:p>
        </w:tc>
        <w:tc>
          <w:tcPr>
            <w:tcW w:w="1349" w:type="dxa"/>
            <w:tcBorders>
              <w:top w:val="nil"/>
              <w:left w:val="single" w:sz="4" w:space="0" w:color="auto"/>
              <w:bottom w:val="nil"/>
              <w:right w:val="single" w:sz="4" w:space="0" w:color="auto"/>
            </w:tcBorders>
            <w:shd w:val="clear" w:color="auto" w:fill="FFFFFF"/>
          </w:tcPr>
          <w:p w:rsidR="007C50D0" w:rsidRPr="007C50D0" w:rsidRDefault="007C50D0" w:rsidP="008619A6">
            <w:pPr>
              <w:contextualSpacing/>
              <w:jc w:val="center"/>
              <w:rPr>
                <w:i/>
                <w:sz w:val="22"/>
                <w:szCs w:val="22"/>
              </w:rPr>
            </w:pPr>
            <w:r w:rsidRPr="007C50D0">
              <w:rPr>
                <w:i/>
                <w:sz w:val="22"/>
                <w:szCs w:val="22"/>
              </w:rPr>
              <w:t>124333</w:t>
            </w:r>
          </w:p>
        </w:tc>
        <w:tc>
          <w:tcPr>
            <w:tcW w:w="921" w:type="dxa"/>
            <w:tcBorders>
              <w:top w:val="nil"/>
              <w:left w:val="single" w:sz="4" w:space="0" w:color="auto"/>
              <w:bottom w:val="nil"/>
              <w:right w:val="double" w:sz="6" w:space="0" w:color="auto"/>
            </w:tcBorders>
            <w:shd w:val="clear" w:color="auto" w:fill="FFFFFF"/>
          </w:tcPr>
          <w:p w:rsidR="007C50D0" w:rsidRPr="007C50D0" w:rsidRDefault="007C50D0" w:rsidP="008619A6">
            <w:pPr>
              <w:contextualSpacing/>
              <w:jc w:val="center"/>
              <w:rPr>
                <w:i/>
                <w:sz w:val="22"/>
                <w:szCs w:val="22"/>
              </w:rPr>
            </w:pPr>
            <w:r w:rsidRPr="007C50D0">
              <w:rPr>
                <w:i/>
                <w:sz w:val="22"/>
                <w:szCs w:val="22"/>
              </w:rPr>
              <w:t>32552</w:t>
            </w:r>
          </w:p>
        </w:tc>
      </w:tr>
      <w:tr w:rsidR="007C50D0" w:rsidRPr="007C50D0" w:rsidTr="00FA4BB9">
        <w:trPr>
          <w:trHeight w:val="72"/>
        </w:trPr>
        <w:tc>
          <w:tcPr>
            <w:tcW w:w="817" w:type="dxa"/>
            <w:tcBorders>
              <w:top w:val="nil"/>
              <w:left w:val="double" w:sz="6"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sz w:val="22"/>
                <w:szCs w:val="22"/>
              </w:rPr>
            </w:pPr>
            <w:r w:rsidRPr="007C50D0">
              <w:rPr>
                <w:b/>
                <w:bCs/>
                <w:sz w:val="22"/>
                <w:szCs w:val="22"/>
              </w:rPr>
              <w:t>%</w:t>
            </w:r>
          </w:p>
        </w:tc>
        <w:tc>
          <w:tcPr>
            <w:tcW w:w="961" w:type="dxa"/>
            <w:tcBorders>
              <w:top w:val="nil"/>
              <w:left w:val="single" w:sz="4"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i/>
                <w:sz w:val="24"/>
                <w:szCs w:val="24"/>
              </w:rPr>
            </w:pPr>
            <w:r w:rsidRPr="007C50D0">
              <w:rPr>
                <w:b/>
                <w:bCs/>
                <w:i/>
                <w:sz w:val="24"/>
                <w:szCs w:val="24"/>
              </w:rPr>
              <w:t>9,9</w:t>
            </w:r>
          </w:p>
        </w:tc>
        <w:tc>
          <w:tcPr>
            <w:tcW w:w="1024" w:type="dxa"/>
            <w:tcBorders>
              <w:top w:val="nil"/>
              <w:left w:val="single" w:sz="4"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i/>
                <w:sz w:val="22"/>
                <w:szCs w:val="22"/>
              </w:rPr>
            </w:pPr>
            <w:r w:rsidRPr="007C50D0">
              <w:rPr>
                <w:b/>
                <w:bCs/>
                <w:i/>
                <w:sz w:val="22"/>
                <w:szCs w:val="22"/>
              </w:rPr>
              <w:t>2,6</w:t>
            </w:r>
          </w:p>
        </w:tc>
        <w:tc>
          <w:tcPr>
            <w:tcW w:w="1440" w:type="dxa"/>
            <w:tcBorders>
              <w:top w:val="nil"/>
              <w:left w:val="single" w:sz="4"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i/>
                <w:sz w:val="22"/>
                <w:szCs w:val="22"/>
              </w:rPr>
            </w:pPr>
            <w:r w:rsidRPr="007C50D0">
              <w:rPr>
                <w:b/>
                <w:bCs/>
                <w:i/>
                <w:sz w:val="22"/>
                <w:szCs w:val="22"/>
              </w:rPr>
              <w:t>2,0</w:t>
            </w:r>
          </w:p>
        </w:tc>
        <w:tc>
          <w:tcPr>
            <w:tcW w:w="1536" w:type="dxa"/>
            <w:tcBorders>
              <w:top w:val="nil"/>
              <w:left w:val="single" w:sz="4"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i/>
                <w:sz w:val="22"/>
                <w:szCs w:val="22"/>
              </w:rPr>
            </w:pPr>
            <w:r w:rsidRPr="007C50D0">
              <w:rPr>
                <w:b/>
                <w:bCs/>
                <w:i/>
                <w:sz w:val="22"/>
                <w:szCs w:val="22"/>
              </w:rPr>
              <w:t>15,4</w:t>
            </w:r>
          </w:p>
        </w:tc>
        <w:tc>
          <w:tcPr>
            <w:tcW w:w="1132" w:type="dxa"/>
            <w:tcBorders>
              <w:top w:val="nil"/>
              <w:left w:val="single" w:sz="4"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i/>
                <w:sz w:val="22"/>
                <w:szCs w:val="22"/>
              </w:rPr>
            </w:pPr>
            <w:r w:rsidRPr="007C50D0">
              <w:rPr>
                <w:b/>
                <w:bCs/>
                <w:i/>
                <w:sz w:val="22"/>
                <w:szCs w:val="22"/>
              </w:rPr>
              <w:t>0,9</w:t>
            </w:r>
          </w:p>
        </w:tc>
        <w:tc>
          <w:tcPr>
            <w:tcW w:w="1349" w:type="dxa"/>
            <w:tcBorders>
              <w:top w:val="nil"/>
              <w:left w:val="single" w:sz="4" w:space="0" w:color="auto"/>
              <w:bottom w:val="double" w:sz="6" w:space="0" w:color="auto"/>
              <w:right w:val="single" w:sz="4" w:space="0" w:color="auto"/>
            </w:tcBorders>
            <w:shd w:val="clear" w:color="auto" w:fill="FFFFFF"/>
          </w:tcPr>
          <w:p w:rsidR="007C50D0" w:rsidRPr="007C50D0" w:rsidRDefault="007C50D0" w:rsidP="008619A6">
            <w:pPr>
              <w:contextualSpacing/>
              <w:jc w:val="center"/>
              <w:rPr>
                <w:b/>
                <w:bCs/>
                <w:i/>
                <w:sz w:val="22"/>
                <w:szCs w:val="22"/>
              </w:rPr>
            </w:pPr>
            <w:r w:rsidRPr="007C50D0">
              <w:rPr>
                <w:b/>
                <w:bCs/>
                <w:i/>
                <w:sz w:val="22"/>
                <w:szCs w:val="22"/>
              </w:rPr>
              <w:t>52,7</w:t>
            </w:r>
          </w:p>
        </w:tc>
        <w:tc>
          <w:tcPr>
            <w:tcW w:w="921" w:type="dxa"/>
            <w:tcBorders>
              <w:top w:val="nil"/>
              <w:left w:val="single" w:sz="4" w:space="0" w:color="auto"/>
              <w:bottom w:val="double" w:sz="6" w:space="0" w:color="auto"/>
              <w:right w:val="double" w:sz="6" w:space="0" w:color="auto"/>
            </w:tcBorders>
            <w:shd w:val="clear" w:color="auto" w:fill="FFFFFF"/>
          </w:tcPr>
          <w:p w:rsidR="007C50D0" w:rsidRPr="007C50D0" w:rsidRDefault="007C50D0" w:rsidP="008619A6">
            <w:pPr>
              <w:contextualSpacing/>
              <w:jc w:val="center"/>
              <w:rPr>
                <w:b/>
                <w:bCs/>
                <w:i/>
                <w:sz w:val="22"/>
                <w:szCs w:val="22"/>
              </w:rPr>
            </w:pPr>
            <w:r w:rsidRPr="007C50D0">
              <w:rPr>
                <w:b/>
                <w:bCs/>
                <w:i/>
                <w:sz w:val="22"/>
                <w:szCs w:val="22"/>
              </w:rPr>
              <w:t>13,8</w:t>
            </w:r>
          </w:p>
        </w:tc>
      </w:tr>
    </w:tbl>
    <w:p w:rsidR="007C50D0" w:rsidRPr="007C50D0" w:rsidRDefault="007C50D0" w:rsidP="008619A6">
      <w:pPr>
        <w:ind w:firstLine="840"/>
        <w:contextualSpacing/>
        <w:jc w:val="both"/>
        <w:rPr>
          <w:sz w:val="28"/>
          <w:szCs w:val="28"/>
        </w:rPr>
      </w:pPr>
      <w:r w:rsidRPr="007C50D0">
        <w:rPr>
          <w:sz w:val="28"/>
          <w:szCs w:val="28"/>
        </w:rPr>
        <w:t>Результаты рассмотрения гражданских дел характеризуются следующими показателями. 96,2% дел окончено с вынесением решения, что на 0,7% больше, чем в 2016 году. Доля дел, рассмотренных с удовлетворением иска, составляет 99,1%, что практически на уровне предыдущего года.</w:t>
      </w:r>
      <w:r w:rsidRPr="007C50D0">
        <w:rPr>
          <w:i/>
          <w:sz w:val="28"/>
          <w:szCs w:val="28"/>
        </w:rPr>
        <w:t xml:space="preserve"> </w:t>
      </w:r>
      <w:r w:rsidRPr="007C50D0">
        <w:rPr>
          <w:sz w:val="28"/>
          <w:szCs w:val="28"/>
        </w:rPr>
        <w:t>Большинство дел с вынесением решения об удовлетворении требований рассмотрены в приказном порядке (84,1%), что на 5,3% больше, чем в 2016 году. 7,1% дел рассмотрено с вынесением заочного решения или вынесено решение в порядке упрощенног</w:t>
      </w:r>
      <w:proofErr w:type="gramStart"/>
      <w:r w:rsidRPr="007C50D0">
        <w:rPr>
          <w:sz w:val="28"/>
          <w:szCs w:val="28"/>
        </w:rPr>
        <w:t>о(</w:t>
      </w:r>
      <w:proofErr w:type="gramEnd"/>
      <w:r w:rsidRPr="007C50D0">
        <w:rPr>
          <w:sz w:val="28"/>
          <w:szCs w:val="28"/>
        </w:rPr>
        <w:t xml:space="preserve">письменного) производства в случае неявки ответчика. </w:t>
      </w:r>
    </w:p>
    <w:p w:rsidR="007C50D0" w:rsidRPr="007C50D0" w:rsidRDefault="007C50D0" w:rsidP="008619A6">
      <w:pPr>
        <w:ind w:firstLine="960"/>
        <w:contextualSpacing/>
        <w:jc w:val="both"/>
        <w:rPr>
          <w:sz w:val="28"/>
          <w:szCs w:val="28"/>
        </w:rPr>
      </w:pPr>
      <w:r w:rsidRPr="007C50D0">
        <w:rPr>
          <w:sz w:val="28"/>
          <w:szCs w:val="28"/>
        </w:rPr>
        <w:t>Доля гражданских дел, рассмотрение которых закончилось прекращением, составляет 2,3% (5351 дело), что на 0,3% меньше, чем в прошлом отчетном периоде. В 79,3% случаев дела прекращались в связи с отказом истца от иска, и в 16,3% стороны заключили мировое соглашение.</w:t>
      </w:r>
    </w:p>
    <w:p w:rsidR="007C50D0" w:rsidRPr="007C50D0" w:rsidRDefault="007C50D0" w:rsidP="008619A6">
      <w:pPr>
        <w:ind w:firstLine="960"/>
        <w:contextualSpacing/>
        <w:jc w:val="both"/>
        <w:rPr>
          <w:sz w:val="28"/>
          <w:szCs w:val="28"/>
        </w:rPr>
      </w:pPr>
      <w:r w:rsidRPr="007C50D0">
        <w:rPr>
          <w:b/>
          <w:sz w:val="28"/>
          <w:szCs w:val="28"/>
          <w:u w:val="single"/>
        </w:rPr>
        <w:t>Административное производство</w:t>
      </w:r>
    </w:p>
    <w:p w:rsidR="007C50D0" w:rsidRPr="007C50D0" w:rsidRDefault="007C50D0" w:rsidP="008619A6">
      <w:pPr>
        <w:ind w:firstLine="960"/>
        <w:contextualSpacing/>
        <w:jc w:val="both"/>
        <w:rPr>
          <w:sz w:val="28"/>
          <w:szCs w:val="28"/>
        </w:rPr>
      </w:pPr>
      <w:r w:rsidRPr="007C50D0">
        <w:rPr>
          <w:sz w:val="28"/>
          <w:szCs w:val="28"/>
        </w:rPr>
        <w:t xml:space="preserve">Наибольшее количество дел связано с взысканием денежных </w:t>
      </w:r>
      <w:proofErr w:type="gramStart"/>
      <w:r w:rsidRPr="007C50D0">
        <w:rPr>
          <w:sz w:val="28"/>
          <w:szCs w:val="28"/>
        </w:rPr>
        <w:t>сумм</w:t>
      </w:r>
      <w:proofErr w:type="gramEnd"/>
      <w:r w:rsidRPr="007C50D0">
        <w:rPr>
          <w:sz w:val="28"/>
          <w:szCs w:val="28"/>
        </w:rPr>
        <w:t xml:space="preserve"> в счет уплаты установленных законом обязательных платежей и санкций с </w:t>
      </w:r>
      <w:r w:rsidRPr="007C50D0">
        <w:rPr>
          <w:sz w:val="28"/>
          <w:szCs w:val="28"/>
        </w:rPr>
        <w:lastRenderedPageBreak/>
        <w:t xml:space="preserve">физических лиц (глава 32 КАС РФ), в том числе рассматриваемые в порядке главы 11.1 КАС РФ. В 2017 году окончено 86301 дело о взыскании налогов и сборов, что на 23,6% больше, чем в 2016 году. О взыскании взносов в Пенсионный фонд, Фонд социального страхования и Федеральный фонд обязательного медицинского страхования рассмотрено 1876 дел, что в 6 раз меньше предыдущего периода. </w:t>
      </w:r>
    </w:p>
    <w:p w:rsidR="007C50D0" w:rsidRPr="007C50D0" w:rsidRDefault="007C50D0" w:rsidP="008619A6">
      <w:pPr>
        <w:ind w:firstLine="960"/>
        <w:contextualSpacing/>
        <w:jc w:val="both"/>
        <w:rPr>
          <w:sz w:val="28"/>
          <w:szCs w:val="28"/>
        </w:rPr>
      </w:pPr>
      <w:r w:rsidRPr="007C50D0">
        <w:rPr>
          <w:sz w:val="28"/>
          <w:szCs w:val="28"/>
        </w:rPr>
        <w:t>Чаще всего иски о взыскании налогов и сборов, взносов в Пенсионный фонд рассматривались мировыми судьями Республики Татарстан, представленны</w:t>
      </w:r>
      <w:r w:rsidR="00FA4BB9">
        <w:rPr>
          <w:sz w:val="28"/>
          <w:szCs w:val="28"/>
        </w:rPr>
        <w:t>ми в Таблице 44</w:t>
      </w:r>
      <w:r w:rsidRPr="007C50D0">
        <w:rPr>
          <w:sz w:val="28"/>
          <w:szCs w:val="28"/>
        </w:rPr>
        <w:t>.</w:t>
      </w:r>
    </w:p>
    <w:p w:rsidR="007C50D0" w:rsidRPr="007C50D0" w:rsidRDefault="007C50D0" w:rsidP="008619A6">
      <w:pPr>
        <w:ind w:firstLine="900"/>
        <w:contextualSpacing/>
        <w:jc w:val="right"/>
        <w:rPr>
          <w:sz w:val="28"/>
          <w:szCs w:val="28"/>
        </w:rPr>
      </w:pPr>
      <w:r w:rsidRPr="007C50D0">
        <w:rPr>
          <w:sz w:val="24"/>
          <w:szCs w:val="24"/>
        </w:rPr>
        <w:t xml:space="preserve">Таблица </w:t>
      </w:r>
      <w:r w:rsidR="00F8243A">
        <w:rPr>
          <w:sz w:val="24"/>
          <w:szCs w:val="24"/>
        </w:rPr>
        <w:t>4</w:t>
      </w:r>
      <w:r w:rsidR="00E45BEB">
        <w:rPr>
          <w:sz w:val="24"/>
          <w:szCs w:val="24"/>
        </w:rPr>
        <w:t>4</w:t>
      </w:r>
    </w:p>
    <w:tbl>
      <w:tblPr>
        <w:tblW w:w="9214" w:type="dxa"/>
        <w:tblInd w:w="108" w:type="dxa"/>
        <w:tblLayout w:type="fixed"/>
        <w:tblLook w:val="0000" w:firstRow="0" w:lastRow="0" w:firstColumn="0" w:lastColumn="0" w:noHBand="0" w:noVBand="0"/>
      </w:tblPr>
      <w:tblGrid>
        <w:gridCol w:w="567"/>
        <w:gridCol w:w="2835"/>
        <w:gridCol w:w="1418"/>
        <w:gridCol w:w="2268"/>
        <w:gridCol w:w="2126"/>
      </w:tblGrid>
      <w:tr w:rsidR="007C50D0" w:rsidRPr="007C50D0" w:rsidTr="00FA4BB9">
        <w:trPr>
          <w:trHeight w:val="743"/>
        </w:trPr>
        <w:tc>
          <w:tcPr>
            <w:tcW w:w="567" w:type="dxa"/>
            <w:tcBorders>
              <w:top w:val="double" w:sz="6" w:space="0" w:color="auto"/>
              <w:left w:val="double" w:sz="6" w:space="0" w:color="auto"/>
              <w:bottom w:val="thickThinLargeGap" w:sz="24" w:space="0" w:color="auto"/>
              <w:right w:val="single" w:sz="4" w:space="0" w:color="auto"/>
            </w:tcBorders>
            <w:shd w:val="clear" w:color="auto" w:fill="auto"/>
            <w:noWrap/>
            <w:vAlign w:val="center"/>
          </w:tcPr>
          <w:p w:rsidR="007C50D0" w:rsidRPr="007C50D0" w:rsidRDefault="007C50D0" w:rsidP="008619A6">
            <w:pPr>
              <w:contextualSpacing/>
              <w:jc w:val="center"/>
              <w:rPr>
                <w:sz w:val="24"/>
                <w:szCs w:val="24"/>
                <w:highlight w:val="yellow"/>
              </w:rPr>
            </w:pPr>
          </w:p>
        </w:tc>
        <w:tc>
          <w:tcPr>
            <w:tcW w:w="2835" w:type="dxa"/>
            <w:tcBorders>
              <w:top w:val="double" w:sz="6" w:space="0" w:color="auto"/>
              <w:left w:val="nil"/>
              <w:bottom w:val="thickThinLargeGap" w:sz="24" w:space="0" w:color="auto"/>
              <w:right w:val="single" w:sz="4" w:space="0" w:color="auto"/>
            </w:tcBorders>
            <w:shd w:val="clear" w:color="auto" w:fill="FFFFFF"/>
            <w:noWrap/>
            <w:vAlign w:val="center"/>
          </w:tcPr>
          <w:p w:rsidR="007C50D0" w:rsidRPr="007C50D0" w:rsidRDefault="007C50D0" w:rsidP="008619A6">
            <w:pPr>
              <w:contextualSpacing/>
              <w:jc w:val="center"/>
              <w:rPr>
                <w:b/>
                <w:bCs/>
                <w:sz w:val="24"/>
                <w:szCs w:val="24"/>
              </w:rPr>
            </w:pPr>
            <w:r w:rsidRPr="007C50D0">
              <w:rPr>
                <w:b/>
                <w:bCs/>
                <w:sz w:val="24"/>
                <w:szCs w:val="24"/>
              </w:rPr>
              <w:t>О взыскании налогов и сборов</w:t>
            </w:r>
          </w:p>
        </w:tc>
        <w:tc>
          <w:tcPr>
            <w:tcW w:w="1418" w:type="dxa"/>
            <w:tcBorders>
              <w:top w:val="double" w:sz="6" w:space="0" w:color="auto"/>
              <w:left w:val="nil"/>
              <w:bottom w:val="thickThinLargeGap" w:sz="24" w:space="0" w:color="auto"/>
              <w:right w:val="single" w:sz="4" w:space="0" w:color="auto"/>
            </w:tcBorders>
            <w:shd w:val="clear" w:color="auto" w:fill="FFFFFF"/>
            <w:noWrap/>
            <w:vAlign w:val="center"/>
          </w:tcPr>
          <w:p w:rsidR="007C50D0" w:rsidRPr="007C50D0" w:rsidRDefault="007C50D0" w:rsidP="008619A6">
            <w:pPr>
              <w:contextualSpacing/>
              <w:jc w:val="center"/>
              <w:rPr>
                <w:b/>
                <w:bCs/>
                <w:sz w:val="24"/>
                <w:szCs w:val="24"/>
              </w:rPr>
            </w:pPr>
          </w:p>
        </w:tc>
        <w:tc>
          <w:tcPr>
            <w:tcW w:w="4394" w:type="dxa"/>
            <w:gridSpan w:val="2"/>
            <w:tcBorders>
              <w:top w:val="double" w:sz="6" w:space="0" w:color="auto"/>
              <w:left w:val="nil"/>
              <w:bottom w:val="thickThinLargeGap" w:sz="24" w:space="0" w:color="auto"/>
              <w:right w:val="double" w:sz="6" w:space="0" w:color="auto"/>
            </w:tcBorders>
            <w:shd w:val="clear" w:color="auto" w:fill="FFFFFF"/>
            <w:noWrap/>
            <w:vAlign w:val="center"/>
          </w:tcPr>
          <w:p w:rsidR="007C50D0" w:rsidRPr="007C50D0" w:rsidRDefault="007C50D0" w:rsidP="008619A6">
            <w:pPr>
              <w:contextualSpacing/>
              <w:jc w:val="center"/>
              <w:rPr>
                <w:b/>
                <w:bCs/>
                <w:sz w:val="24"/>
                <w:szCs w:val="24"/>
              </w:rPr>
            </w:pPr>
            <w:r w:rsidRPr="007C50D0">
              <w:rPr>
                <w:b/>
                <w:bCs/>
                <w:sz w:val="24"/>
                <w:szCs w:val="24"/>
              </w:rPr>
              <w:t>О взыскании взносов в Пенсионный фонд, Фонд социального страхования и обязательного медицинского страхования</w:t>
            </w:r>
          </w:p>
        </w:tc>
      </w:tr>
      <w:tr w:rsidR="007C50D0" w:rsidRPr="007C50D0" w:rsidTr="00FA4BB9">
        <w:trPr>
          <w:trHeight w:val="90"/>
        </w:trPr>
        <w:tc>
          <w:tcPr>
            <w:tcW w:w="567" w:type="dxa"/>
            <w:tcBorders>
              <w:top w:val="thickThinLargeGap" w:sz="24" w:space="0" w:color="auto"/>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1</w:t>
            </w:r>
          </w:p>
        </w:tc>
        <w:tc>
          <w:tcPr>
            <w:tcW w:w="2835" w:type="dxa"/>
            <w:tcBorders>
              <w:top w:val="thickThinLargeGap" w:sz="24" w:space="0" w:color="auto"/>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Набережные Челны</w:t>
            </w:r>
          </w:p>
        </w:tc>
        <w:tc>
          <w:tcPr>
            <w:tcW w:w="1418" w:type="dxa"/>
            <w:tcBorders>
              <w:top w:val="thickThinLargeGap" w:sz="24" w:space="0" w:color="auto"/>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12370</w:t>
            </w:r>
          </w:p>
        </w:tc>
        <w:tc>
          <w:tcPr>
            <w:tcW w:w="2268" w:type="dxa"/>
            <w:tcBorders>
              <w:top w:val="thickThinLargeGap" w:sz="24" w:space="0" w:color="auto"/>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Советский</w:t>
            </w:r>
          </w:p>
        </w:tc>
        <w:tc>
          <w:tcPr>
            <w:tcW w:w="2126" w:type="dxa"/>
            <w:tcBorders>
              <w:top w:val="thickThinLargeGap" w:sz="24" w:space="0" w:color="auto"/>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233</w:t>
            </w:r>
          </w:p>
        </w:tc>
      </w:tr>
      <w:tr w:rsidR="007C50D0" w:rsidRPr="007C50D0" w:rsidTr="00FA4BB9">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2</w:t>
            </w:r>
          </w:p>
        </w:tc>
        <w:tc>
          <w:tcPr>
            <w:tcW w:w="2835"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Нижнекамск</w:t>
            </w:r>
          </w:p>
        </w:tc>
        <w:tc>
          <w:tcPr>
            <w:tcW w:w="1418"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5095</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Приволжский</w:t>
            </w:r>
          </w:p>
        </w:tc>
        <w:tc>
          <w:tcPr>
            <w:tcW w:w="2126" w:type="dxa"/>
            <w:tcBorders>
              <w:top w:val="single" w:sz="4" w:space="0" w:color="auto"/>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163</w:t>
            </w:r>
          </w:p>
        </w:tc>
      </w:tr>
      <w:tr w:rsidR="007C50D0" w:rsidRPr="007C50D0" w:rsidTr="00FA4BB9">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3</w:t>
            </w:r>
          </w:p>
        </w:tc>
        <w:tc>
          <w:tcPr>
            <w:tcW w:w="2835"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Альметьевск</w:t>
            </w:r>
          </w:p>
        </w:tc>
        <w:tc>
          <w:tcPr>
            <w:tcW w:w="1418"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4721</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proofErr w:type="spellStart"/>
            <w:r w:rsidRPr="007C50D0">
              <w:rPr>
                <w:color w:val="000000"/>
                <w:sz w:val="24"/>
                <w:szCs w:val="24"/>
              </w:rPr>
              <w:t>Вахитовский</w:t>
            </w:r>
            <w:proofErr w:type="spellEnd"/>
          </w:p>
        </w:tc>
        <w:tc>
          <w:tcPr>
            <w:tcW w:w="2126" w:type="dxa"/>
            <w:tcBorders>
              <w:top w:val="single" w:sz="4" w:space="0" w:color="auto"/>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110</w:t>
            </w:r>
          </w:p>
        </w:tc>
      </w:tr>
      <w:tr w:rsidR="007C50D0" w:rsidRPr="007C50D0" w:rsidTr="00FA4BB9">
        <w:trPr>
          <w:trHeight w:val="100"/>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4</w:t>
            </w:r>
          </w:p>
        </w:tc>
        <w:tc>
          <w:tcPr>
            <w:tcW w:w="2835"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Советский</w:t>
            </w:r>
          </w:p>
        </w:tc>
        <w:tc>
          <w:tcPr>
            <w:tcW w:w="1418"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4698</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Альметьевск</w:t>
            </w:r>
          </w:p>
        </w:tc>
        <w:tc>
          <w:tcPr>
            <w:tcW w:w="2126" w:type="dxa"/>
            <w:tcBorders>
              <w:top w:val="single" w:sz="4" w:space="0" w:color="auto"/>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95</w:t>
            </w:r>
          </w:p>
        </w:tc>
      </w:tr>
      <w:tr w:rsidR="007C50D0" w:rsidRPr="007C50D0" w:rsidTr="00FA4BB9">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5</w:t>
            </w:r>
          </w:p>
        </w:tc>
        <w:tc>
          <w:tcPr>
            <w:tcW w:w="2835"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Зеленодольск</w:t>
            </w:r>
          </w:p>
        </w:tc>
        <w:tc>
          <w:tcPr>
            <w:tcW w:w="1418"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4449</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Бугульма</w:t>
            </w:r>
          </w:p>
        </w:tc>
        <w:tc>
          <w:tcPr>
            <w:tcW w:w="2126" w:type="dxa"/>
            <w:tcBorders>
              <w:top w:val="single" w:sz="4" w:space="0" w:color="auto"/>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68</w:t>
            </w:r>
          </w:p>
        </w:tc>
      </w:tr>
      <w:tr w:rsidR="007C50D0" w:rsidRPr="007C50D0" w:rsidTr="00FA4BB9">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6</w:t>
            </w:r>
          </w:p>
        </w:tc>
        <w:tc>
          <w:tcPr>
            <w:tcW w:w="2835"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Ново-Савиновский</w:t>
            </w:r>
          </w:p>
        </w:tc>
        <w:tc>
          <w:tcPr>
            <w:tcW w:w="1418"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4007</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Чистополь</w:t>
            </w:r>
          </w:p>
        </w:tc>
        <w:tc>
          <w:tcPr>
            <w:tcW w:w="2126" w:type="dxa"/>
            <w:tcBorders>
              <w:top w:val="single" w:sz="4" w:space="0" w:color="auto"/>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64</w:t>
            </w:r>
          </w:p>
        </w:tc>
      </w:tr>
      <w:tr w:rsidR="007C50D0" w:rsidRPr="007C50D0" w:rsidTr="00FA4BB9">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7</w:t>
            </w:r>
          </w:p>
        </w:tc>
        <w:tc>
          <w:tcPr>
            <w:tcW w:w="2835"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Московский</w:t>
            </w:r>
          </w:p>
        </w:tc>
        <w:tc>
          <w:tcPr>
            <w:tcW w:w="1418"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2563</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Набережные Челны</w:t>
            </w:r>
          </w:p>
        </w:tc>
        <w:tc>
          <w:tcPr>
            <w:tcW w:w="2126" w:type="dxa"/>
            <w:tcBorders>
              <w:top w:val="single" w:sz="4" w:space="0" w:color="auto"/>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62</w:t>
            </w:r>
          </w:p>
        </w:tc>
      </w:tr>
      <w:tr w:rsidR="007C50D0" w:rsidRPr="007C50D0" w:rsidTr="00FA4BB9">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8</w:t>
            </w:r>
          </w:p>
        </w:tc>
        <w:tc>
          <w:tcPr>
            <w:tcW w:w="2835"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Приволжский</w:t>
            </w:r>
          </w:p>
        </w:tc>
        <w:tc>
          <w:tcPr>
            <w:tcW w:w="1418"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2534</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Ново-Савиновский</w:t>
            </w:r>
          </w:p>
        </w:tc>
        <w:tc>
          <w:tcPr>
            <w:tcW w:w="2126" w:type="dxa"/>
            <w:tcBorders>
              <w:top w:val="single" w:sz="4" w:space="0" w:color="auto"/>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52</w:t>
            </w:r>
          </w:p>
        </w:tc>
      </w:tr>
      <w:tr w:rsidR="007C50D0" w:rsidRPr="007C50D0" w:rsidTr="00FA4BB9">
        <w:trPr>
          <w:trHeight w:val="62"/>
        </w:trPr>
        <w:tc>
          <w:tcPr>
            <w:tcW w:w="567" w:type="dxa"/>
            <w:tcBorders>
              <w:top w:val="nil"/>
              <w:left w:val="double" w:sz="6"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9</w:t>
            </w:r>
          </w:p>
        </w:tc>
        <w:tc>
          <w:tcPr>
            <w:tcW w:w="2835"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Лениногорск</w:t>
            </w:r>
          </w:p>
        </w:tc>
        <w:tc>
          <w:tcPr>
            <w:tcW w:w="1418" w:type="dxa"/>
            <w:tcBorders>
              <w:top w:val="nil"/>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2408</w:t>
            </w:r>
          </w:p>
        </w:tc>
        <w:tc>
          <w:tcPr>
            <w:tcW w:w="2268" w:type="dxa"/>
            <w:tcBorders>
              <w:top w:val="nil"/>
              <w:left w:val="nil"/>
              <w:bottom w:val="single" w:sz="4"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Кировский</w:t>
            </w:r>
          </w:p>
        </w:tc>
        <w:tc>
          <w:tcPr>
            <w:tcW w:w="2126" w:type="dxa"/>
            <w:tcBorders>
              <w:top w:val="single" w:sz="4" w:space="0" w:color="auto"/>
              <w:left w:val="nil"/>
              <w:bottom w:val="single" w:sz="4" w:space="0" w:color="auto"/>
              <w:right w:val="double" w:sz="6"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38</w:t>
            </w:r>
          </w:p>
        </w:tc>
      </w:tr>
      <w:tr w:rsidR="007C50D0" w:rsidRPr="007C50D0" w:rsidTr="00FA4BB9">
        <w:trPr>
          <w:trHeight w:val="68"/>
        </w:trPr>
        <w:tc>
          <w:tcPr>
            <w:tcW w:w="567" w:type="dxa"/>
            <w:tcBorders>
              <w:top w:val="nil"/>
              <w:left w:val="double" w:sz="6" w:space="0" w:color="auto"/>
              <w:bottom w:val="double" w:sz="6"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10</w:t>
            </w:r>
          </w:p>
        </w:tc>
        <w:tc>
          <w:tcPr>
            <w:tcW w:w="2835" w:type="dxa"/>
            <w:tcBorders>
              <w:top w:val="nil"/>
              <w:left w:val="nil"/>
              <w:bottom w:val="double" w:sz="6"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proofErr w:type="spellStart"/>
            <w:r w:rsidRPr="007C50D0">
              <w:rPr>
                <w:color w:val="000000"/>
                <w:sz w:val="24"/>
                <w:szCs w:val="24"/>
              </w:rPr>
              <w:t>Вахитовский</w:t>
            </w:r>
            <w:proofErr w:type="spellEnd"/>
          </w:p>
        </w:tc>
        <w:tc>
          <w:tcPr>
            <w:tcW w:w="1418" w:type="dxa"/>
            <w:tcBorders>
              <w:top w:val="nil"/>
              <w:left w:val="nil"/>
              <w:bottom w:val="double" w:sz="6" w:space="0" w:color="auto"/>
              <w:right w:val="single" w:sz="4"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2176</w:t>
            </w:r>
          </w:p>
        </w:tc>
        <w:tc>
          <w:tcPr>
            <w:tcW w:w="2268" w:type="dxa"/>
            <w:tcBorders>
              <w:top w:val="nil"/>
              <w:left w:val="nil"/>
              <w:bottom w:val="double" w:sz="6" w:space="0" w:color="auto"/>
              <w:right w:val="single" w:sz="4" w:space="0" w:color="auto"/>
            </w:tcBorders>
            <w:shd w:val="clear" w:color="auto" w:fill="FFFFFF"/>
            <w:vAlign w:val="center"/>
          </w:tcPr>
          <w:p w:rsidR="007C50D0" w:rsidRPr="007C50D0" w:rsidRDefault="007C50D0" w:rsidP="008619A6">
            <w:pPr>
              <w:contextualSpacing/>
              <w:jc w:val="center"/>
              <w:rPr>
                <w:color w:val="000000"/>
                <w:sz w:val="24"/>
                <w:szCs w:val="24"/>
              </w:rPr>
            </w:pPr>
            <w:r w:rsidRPr="007C50D0">
              <w:rPr>
                <w:color w:val="000000"/>
                <w:sz w:val="24"/>
                <w:szCs w:val="24"/>
              </w:rPr>
              <w:t>Азнакаево</w:t>
            </w:r>
          </w:p>
        </w:tc>
        <w:tc>
          <w:tcPr>
            <w:tcW w:w="2126" w:type="dxa"/>
            <w:tcBorders>
              <w:top w:val="single" w:sz="4" w:space="0" w:color="auto"/>
              <w:left w:val="nil"/>
              <w:bottom w:val="double" w:sz="6" w:space="0" w:color="auto"/>
              <w:right w:val="double" w:sz="6" w:space="0" w:color="auto"/>
            </w:tcBorders>
            <w:shd w:val="clear" w:color="auto" w:fill="auto"/>
            <w:noWrap/>
            <w:vAlign w:val="center"/>
          </w:tcPr>
          <w:p w:rsidR="007C50D0" w:rsidRPr="007C50D0" w:rsidRDefault="007C50D0" w:rsidP="008619A6">
            <w:pPr>
              <w:contextualSpacing/>
              <w:jc w:val="center"/>
              <w:rPr>
                <w:i/>
                <w:sz w:val="24"/>
                <w:szCs w:val="24"/>
              </w:rPr>
            </w:pPr>
            <w:r w:rsidRPr="007C50D0">
              <w:rPr>
                <w:i/>
                <w:sz w:val="24"/>
                <w:szCs w:val="24"/>
              </w:rPr>
              <w:t>35</w:t>
            </w:r>
          </w:p>
        </w:tc>
      </w:tr>
    </w:tbl>
    <w:p w:rsidR="007C50D0" w:rsidRPr="007C50D0" w:rsidRDefault="007C50D0" w:rsidP="008619A6">
      <w:pPr>
        <w:ind w:firstLine="840"/>
        <w:contextualSpacing/>
        <w:jc w:val="both"/>
        <w:rPr>
          <w:sz w:val="28"/>
          <w:szCs w:val="28"/>
        </w:rPr>
      </w:pPr>
      <w:r w:rsidRPr="007C50D0">
        <w:rPr>
          <w:sz w:val="28"/>
          <w:szCs w:val="28"/>
        </w:rPr>
        <w:t>Результаты рассмотрения административных дел характеризуются следующими показателями. Подавляющее большинство дел – 99% – окончено с вынесением решения. Все они рассмотрены с удовлетворением иска.</w:t>
      </w:r>
      <w:r w:rsidRPr="007C50D0">
        <w:rPr>
          <w:i/>
          <w:sz w:val="28"/>
          <w:szCs w:val="28"/>
        </w:rPr>
        <w:t xml:space="preserve"> </w:t>
      </w:r>
      <w:r w:rsidRPr="007C50D0">
        <w:rPr>
          <w:sz w:val="28"/>
          <w:szCs w:val="28"/>
        </w:rPr>
        <w:t>Большинство дел, с вынесением решения об удовлетворении требований, были рассмотрены в приказном порядке (99,8%).</w:t>
      </w:r>
    </w:p>
    <w:p w:rsidR="007C50D0" w:rsidRPr="007C50D0" w:rsidRDefault="007C50D0" w:rsidP="008619A6">
      <w:pPr>
        <w:ind w:firstLine="960"/>
        <w:contextualSpacing/>
        <w:jc w:val="both"/>
        <w:rPr>
          <w:sz w:val="28"/>
          <w:szCs w:val="28"/>
        </w:rPr>
      </w:pPr>
      <w:r w:rsidRPr="007C50D0">
        <w:rPr>
          <w:sz w:val="28"/>
          <w:szCs w:val="28"/>
        </w:rPr>
        <w:t xml:space="preserve">4 дела рассмотрены с нарушением процессуального срока. </w:t>
      </w:r>
    </w:p>
    <w:p w:rsidR="007C50D0" w:rsidRPr="007C50D0" w:rsidRDefault="007C50D0" w:rsidP="008619A6">
      <w:pPr>
        <w:ind w:firstLine="960"/>
        <w:contextualSpacing/>
        <w:jc w:val="both"/>
        <w:rPr>
          <w:sz w:val="28"/>
          <w:szCs w:val="28"/>
        </w:rPr>
      </w:pPr>
      <w:r w:rsidRPr="007C50D0">
        <w:rPr>
          <w:sz w:val="28"/>
          <w:szCs w:val="28"/>
        </w:rPr>
        <w:t xml:space="preserve">Мировыми судьями рассмотрено 1194 материала, связанных с исполнением решений судов и организаций административного судопроизводства, из них 642 - с удовлетворением. </w:t>
      </w:r>
    </w:p>
    <w:p w:rsidR="007C50D0" w:rsidRPr="007C50D0" w:rsidRDefault="007C50D0" w:rsidP="008619A6">
      <w:pPr>
        <w:ind w:firstLine="960"/>
        <w:contextualSpacing/>
        <w:jc w:val="both"/>
        <w:rPr>
          <w:b/>
          <w:sz w:val="28"/>
          <w:szCs w:val="28"/>
          <w:u w:val="single"/>
        </w:rPr>
      </w:pPr>
      <w:r w:rsidRPr="007C50D0">
        <w:rPr>
          <w:b/>
          <w:sz w:val="28"/>
          <w:szCs w:val="28"/>
          <w:u w:val="single"/>
        </w:rPr>
        <w:t>Производство об административных нарушениях</w:t>
      </w:r>
    </w:p>
    <w:p w:rsidR="007C50D0" w:rsidRPr="007C50D0" w:rsidRDefault="007C50D0" w:rsidP="008619A6">
      <w:pPr>
        <w:ind w:firstLine="960"/>
        <w:contextualSpacing/>
        <w:jc w:val="both"/>
        <w:rPr>
          <w:sz w:val="28"/>
          <w:szCs w:val="28"/>
        </w:rPr>
      </w:pPr>
      <w:r w:rsidRPr="007C50D0">
        <w:rPr>
          <w:sz w:val="28"/>
          <w:szCs w:val="28"/>
        </w:rPr>
        <w:t xml:space="preserve">Наибольшее количество рассмотренных дел в 2017 году связано </w:t>
      </w:r>
      <w:proofErr w:type="gramStart"/>
      <w:r w:rsidRPr="007C50D0">
        <w:rPr>
          <w:sz w:val="28"/>
          <w:szCs w:val="28"/>
        </w:rPr>
        <w:t>с</w:t>
      </w:r>
      <w:proofErr w:type="gramEnd"/>
      <w:r w:rsidRPr="007C50D0">
        <w:rPr>
          <w:sz w:val="28"/>
          <w:szCs w:val="28"/>
        </w:rPr>
        <w:t>:</w:t>
      </w:r>
    </w:p>
    <w:p w:rsidR="007C50D0" w:rsidRPr="00FA4BB9" w:rsidRDefault="007C50D0" w:rsidP="00335DC8">
      <w:pPr>
        <w:pStyle w:val="ab"/>
        <w:numPr>
          <w:ilvl w:val="0"/>
          <w:numId w:val="17"/>
        </w:numPr>
        <w:ind w:left="567" w:hanging="567"/>
        <w:jc w:val="both"/>
        <w:rPr>
          <w:sz w:val="28"/>
          <w:szCs w:val="28"/>
        </w:rPr>
      </w:pPr>
      <w:proofErr w:type="gramStart"/>
      <w:r w:rsidRPr="00FA4BB9">
        <w:rPr>
          <w:sz w:val="28"/>
          <w:szCs w:val="28"/>
        </w:rPr>
        <w:t>правонарушениями в области дорожного движения (глава 12 КоАП РФ) – 31027 дел (16,2% от общего количество рассмотренных дел), из них: управление транспортным средством водителем, находящимся в состоянии опьянения, – 10086 дел, невыполнение водителем требования о прохождении медицинского освидетельствования на состояние опьянения – 5468 дел, выезд на сторону дороги, предназначенную для встречного движения, – 8404 дела, невыполнение обязанностей в связи дорожно-транспортным пришествием – 2888;</w:t>
      </w:r>
      <w:proofErr w:type="gramEnd"/>
    </w:p>
    <w:p w:rsidR="007C50D0" w:rsidRPr="00FA4BB9" w:rsidRDefault="007C50D0" w:rsidP="00335DC8">
      <w:pPr>
        <w:pStyle w:val="ab"/>
        <w:numPr>
          <w:ilvl w:val="0"/>
          <w:numId w:val="17"/>
        </w:numPr>
        <w:ind w:left="567" w:hanging="567"/>
        <w:jc w:val="both"/>
        <w:rPr>
          <w:sz w:val="28"/>
          <w:szCs w:val="28"/>
        </w:rPr>
      </w:pPr>
      <w:r w:rsidRPr="00FA4BB9">
        <w:rPr>
          <w:sz w:val="28"/>
          <w:szCs w:val="28"/>
        </w:rPr>
        <w:t>неуплатой административного штрафа (часть 1 статьи 20.25 КоАП РФ) – 53573 дела, или 27,9%;</w:t>
      </w:r>
    </w:p>
    <w:p w:rsidR="007C50D0" w:rsidRPr="00FA4BB9" w:rsidRDefault="007C50D0" w:rsidP="00335DC8">
      <w:pPr>
        <w:pStyle w:val="ab"/>
        <w:numPr>
          <w:ilvl w:val="0"/>
          <w:numId w:val="17"/>
        </w:numPr>
        <w:ind w:left="567" w:hanging="567"/>
        <w:jc w:val="both"/>
        <w:rPr>
          <w:sz w:val="28"/>
          <w:szCs w:val="28"/>
        </w:rPr>
      </w:pPr>
      <w:r w:rsidRPr="00FA4BB9">
        <w:rPr>
          <w:sz w:val="28"/>
          <w:szCs w:val="28"/>
        </w:rPr>
        <w:lastRenderedPageBreak/>
        <w:t>нарушением сроков представления налоговой декларации и непредставление сведений, необходимых для осуществления налогового контроля (статья 15.5 и статья 15.6 КоАП РФ) – 15085 дел, или 7,9%;</w:t>
      </w:r>
    </w:p>
    <w:p w:rsidR="007C50D0" w:rsidRPr="00FA4BB9" w:rsidRDefault="007C50D0" w:rsidP="00335DC8">
      <w:pPr>
        <w:pStyle w:val="ab"/>
        <w:numPr>
          <w:ilvl w:val="0"/>
          <w:numId w:val="17"/>
        </w:numPr>
        <w:ind w:left="567" w:hanging="567"/>
        <w:jc w:val="both"/>
        <w:rPr>
          <w:sz w:val="28"/>
          <w:szCs w:val="28"/>
        </w:rPr>
      </w:pPr>
      <w:r w:rsidRPr="00FA4BB9">
        <w:rPr>
          <w:sz w:val="28"/>
          <w:szCs w:val="28"/>
        </w:rPr>
        <w:t>появлением в общественных местах в состоянии опьянения (статья 20.21 КоАП РФ) — 17217 дел, или 9,0%;</w:t>
      </w:r>
    </w:p>
    <w:p w:rsidR="007C50D0" w:rsidRPr="00FA4BB9" w:rsidRDefault="007C50D0" w:rsidP="00335DC8">
      <w:pPr>
        <w:pStyle w:val="ab"/>
        <w:numPr>
          <w:ilvl w:val="0"/>
          <w:numId w:val="17"/>
        </w:numPr>
        <w:ind w:left="567" w:hanging="567"/>
        <w:jc w:val="both"/>
        <w:rPr>
          <w:sz w:val="28"/>
          <w:szCs w:val="28"/>
        </w:rPr>
      </w:pPr>
      <w:r w:rsidRPr="00FA4BB9">
        <w:rPr>
          <w:sz w:val="28"/>
          <w:szCs w:val="28"/>
        </w:rPr>
        <w:t>несоблюдением административных ограничений и невыполнение обязанностей, устанавливаемых при административном надзоре (статья 19.24 КоАП РФ) – 13652 дела, или 7,1%;</w:t>
      </w:r>
    </w:p>
    <w:p w:rsidR="007C50D0" w:rsidRPr="00FA4BB9" w:rsidRDefault="007C50D0" w:rsidP="00335DC8">
      <w:pPr>
        <w:pStyle w:val="ab"/>
        <w:numPr>
          <w:ilvl w:val="0"/>
          <w:numId w:val="17"/>
        </w:numPr>
        <w:ind w:left="567" w:hanging="567"/>
        <w:jc w:val="both"/>
        <w:rPr>
          <w:sz w:val="28"/>
          <w:szCs w:val="28"/>
        </w:rPr>
      </w:pPr>
      <w:r w:rsidRPr="00FA4BB9">
        <w:rPr>
          <w:sz w:val="28"/>
          <w:szCs w:val="28"/>
        </w:rPr>
        <w:t>мелким хищением (статья 7.27 КоАП РФ) — 11109 дел, или 5,8%;</w:t>
      </w:r>
    </w:p>
    <w:p w:rsidR="007C50D0" w:rsidRPr="00FA4BB9" w:rsidRDefault="007C50D0" w:rsidP="00335DC8">
      <w:pPr>
        <w:pStyle w:val="ab"/>
        <w:numPr>
          <w:ilvl w:val="0"/>
          <w:numId w:val="17"/>
        </w:numPr>
        <w:ind w:left="567" w:hanging="567"/>
        <w:jc w:val="both"/>
        <w:rPr>
          <w:sz w:val="28"/>
          <w:szCs w:val="28"/>
        </w:rPr>
      </w:pPr>
      <w:r w:rsidRPr="00FA4BB9">
        <w:rPr>
          <w:sz w:val="28"/>
          <w:szCs w:val="28"/>
        </w:rPr>
        <w:t>правонарушениями, предусмотренными нормативными актами Республики Татарстан, – 5590 дел, или 2,9%;</w:t>
      </w:r>
    </w:p>
    <w:p w:rsidR="007C50D0" w:rsidRPr="00FA4BB9" w:rsidRDefault="007C50D0" w:rsidP="00335DC8">
      <w:pPr>
        <w:pStyle w:val="ab"/>
        <w:numPr>
          <w:ilvl w:val="0"/>
          <w:numId w:val="17"/>
        </w:numPr>
        <w:ind w:left="567" w:hanging="567"/>
        <w:jc w:val="both"/>
        <w:rPr>
          <w:sz w:val="28"/>
          <w:szCs w:val="28"/>
        </w:rPr>
      </w:pPr>
      <w:r w:rsidRPr="00FA4BB9">
        <w:rPr>
          <w:sz w:val="28"/>
          <w:szCs w:val="28"/>
        </w:rPr>
        <w:t>невыполнением в срок законного предписания органа, осуществляющий государственный надзор (статьи 19.4, 19.4.1, 19.5 КоАП РФ), – 6143 дела, или 3,2%.</w:t>
      </w:r>
    </w:p>
    <w:p w:rsidR="007C50D0" w:rsidRPr="007C50D0" w:rsidRDefault="007C50D0" w:rsidP="008619A6">
      <w:pPr>
        <w:ind w:firstLine="708"/>
        <w:contextualSpacing/>
        <w:jc w:val="both"/>
        <w:rPr>
          <w:sz w:val="28"/>
          <w:szCs w:val="28"/>
        </w:rPr>
      </w:pPr>
      <w:r w:rsidRPr="007C50D0">
        <w:rPr>
          <w:sz w:val="28"/>
          <w:szCs w:val="28"/>
        </w:rPr>
        <w:t xml:space="preserve">                                                                                                     </w:t>
      </w:r>
      <w:r w:rsidRPr="007C50D0">
        <w:rPr>
          <w:sz w:val="24"/>
          <w:szCs w:val="24"/>
        </w:rPr>
        <w:t xml:space="preserve">Диаграмма </w:t>
      </w:r>
      <w:r w:rsidR="00F8243A">
        <w:rPr>
          <w:sz w:val="24"/>
          <w:szCs w:val="24"/>
        </w:rPr>
        <w:t>23</w:t>
      </w:r>
    </w:p>
    <w:p w:rsidR="007C50D0" w:rsidRPr="007C50D0" w:rsidRDefault="007C50D0" w:rsidP="00FA4BB9">
      <w:pPr>
        <w:ind w:firstLine="851"/>
        <w:contextualSpacing/>
        <w:jc w:val="both"/>
        <w:rPr>
          <w:sz w:val="28"/>
          <w:szCs w:val="28"/>
        </w:rPr>
      </w:pPr>
      <w:r>
        <w:rPr>
          <w:noProof/>
        </w:rPr>
        <w:drawing>
          <wp:inline distT="0" distB="0" distL="0" distR="0" wp14:anchorId="1910841E" wp14:editId="29A925A0">
            <wp:extent cx="5329881" cy="3402227"/>
            <wp:effectExtent l="0" t="0" r="23495" b="2730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C50D0" w:rsidRPr="007C50D0" w:rsidRDefault="007C50D0" w:rsidP="008619A6">
      <w:pPr>
        <w:ind w:firstLine="851"/>
        <w:contextualSpacing/>
        <w:jc w:val="both"/>
        <w:rPr>
          <w:sz w:val="28"/>
          <w:szCs w:val="28"/>
        </w:rPr>
      </w:pPr>
      <w:r w:rsidRPr="007C50D0">
        <w:rPr>
          <w:sz w:val="28"/>
          <w:szCs w:val="28"/>
        </w:rPr>
        <w:t>Анализ статистических данных свидетельствует об увеличении (на 26,2%) количества рассмотренных дел в области дорожного движения в сравнении с 2016 годом.</w:t>
      </w:r>
    </w:p>
    <w:p w:rsidR="007C50D0" w:rsidRPr="007C50D0" w:rsidRDefault="007C50D0" w:rsidP="008619A6">
      <w:pPr>
        <w:ind w:firstLine="851"/>
        <w:contextualSpacing/>
        <w:jc w:val="both"/>
        <w:rPr>
          <w:sz w:val="28"/>
          <w:szCs w:val="28"/>
        </w:rPr>
      </w:pPr>
      <w:r w:rsidRPr="007C50D0">
        <w:rPr>
          <w:sz w:val="28"/>
          <w:szCs w:val="28"/>
        </w:rPr>
        <w:t>Среди дел, связанных с правонарушениями в области дорожного движения, весомая доля приходится на управление транспортным средством водителем, находящимся в состоянии опьянения – 42,2%. На втором месте – выезд на сторону дороги, предназначенную для встречного движения – 27,1%. На третьем месте – невыполнение водителем требования о прохождения медицинского освидетельствования на состояние опьянения – 17,6%.</w:t>
      </w:r>
    </w:p>
    <w:p w:rsidR="007C50D0" w:rsidRPr="007C50D0" w:rsidRDefault="007C50D0" w:rsidP="008619A6">
      <w:pPr>
        <w:ind w:firstLine="851"/>
        <w:contextualSpacing/>
        <w:jc w:val="both"/>
        <w:rPr>
          <w:sz w:val="28"/>
          <w:szCs w:val="28"/>
        </w:rPr>
      </w:pPr>
      <w:r w:rsidRPr="007C50D0">
        <w:rPr>
          <w:sz w:val="28"/>
          <w:szCs w:val="28"/>
        </w:rPr>
        <w:t>Удельный вес</w:t>
      </w:r>
      <w:r w:rsidRPr="007C50D0">
        <w:rPr>
          <w:color w:val="C00000"/>
          <w:sz w:val="28"/>
          <w:szCs w:val="28"/>
        </w:rPr>
        <w:t xml:space="preserve"> </w:t>
      </w:r>
      <w:r w:rsidRPr="007C50D0">
        <w:rPr>
          <w:sz w:val="28"/>
          <w:szCs w:val="28"/>
        </w:rPr>
        <w:t xml:space="preserve">дел, связанных с невыполнением обязанностей в связи с дорожно-транспортным происшествием, а также управлением транспортным средством водителем, не имеющим права управления, немного уменьшился в </w:t>
      </w:r>
      <w:r w:rsidRPr="007C50D0">
        <w:rPr>
          <w:sz w:val="28"/>
          <w:szCs w:val="28"/>
        </w:rPr>
        <w:lastRenderedPageBreak/>
        <w:t>сравнении с прошлым отчетным периодом и составляет 9,3% и 5,7% от количества дел данной группы.</w:t>
      </w:r>
    </w:p>
    <w:p w:rsidR="007C50D0" w:rsidRPr="007C50D0" w:rsidRDefault="007C50D0" w:rsidP="008619A6">
      <w:pPr>
        <w:ind w:firstLine="851"/>
        <w:contextualSpacing/>
        <w:jc w:val="both"/>
        <w:rPr>
          <w:sz w:val="28"/>
          <w:szCs w:val="28"/>
        </w:rPr>
      </w:pPr>
      <w:r w:rsidRPr="007C50D0">
        <w:rPr>
          <w:sz w:val="28"/>
          <w:szCs w:val="28"/>
        </w:rPr>
        <w:t>По сравнению с прошлым отчетным периодом увеличилось количество правонарушений, связанных с появлением в общественных местах в состоянии опьянения – на 18,7%, мелкое хищение – на 25%, нарушение сроков представления налоговой декларации – на 18,7%.</w:t>
      </w:r>
    </w:p>
    <w:p w:rsidR="007C50D0" w:rsidRPr="007C50D0" w:rsidRDefault="007C50D0" w:rsidP="008619A6">
      <w:pPr>
        <w:ind w:firstLine="708"/>
        <w:contextualSpacing/>
        <w:jc w:val="both"/>
        <w:rPr>
          <w:sz w:val="28"/>
          <w:szCs w:val="28"/>
        </w:rPr>
      </w:pPr>
      <w:r w:rsidRPr="007C50D0">
        <w:rPr>
          <w:sz w:val="28"/>
          <w:szCs w:val="28"/>
        </w:rPr>
        <w:t>В 2017 году в статистической отчетности появились дополнительные данные о рассмотрении дел, связанных с такими правонарушениями, как:</w:t>
      </w:r>
    </w:p>
    <w:p w:rsidR="007C50D0" w:rsidRPr="007C50D0" w:rsidRDefault="007C50D0" w:rsidP="008619A6">
      <w:pPr>
        <w:ind w:firstLine="708"/>
        <w:contextualSpacing/>
        <w:jc w:val="both"/>
        <w:rPr>
          <w:sz w:val="28"/>
          <w:szCs w:val="28"/>
        </w:rPr>
      </w:pPr>
      <w:r w:rsidRPr="007C50D0">
        <w:rPr>
          <w:sz w:val="28"/>
          <w:szCs w:val="28"/>
        </w:rPr>
        <w:t>побои (статья 6.1.1 КоАП РФ) – 4289 дела, или 2,2%;</w:t>
      </w:r>
    </w:p>
    <w:p w:rsidR="007C50D0" w:rsidRPr="007C50D0" w:rsidRDefault="007C50D0" w:rsidP="008619A6">
      <w:pPr>
        <w:ind w:firstLine="708"/>
        <w:contextualSpacing/>
        <w:jc w:val="both"/>
        <w:rPr>
          <w:sz w:val="28"/>
          <w:szCs w:val="28"/>
        </w:rPr>
      </w:pPr>
      <w:r w:rsidRPr="007C50D0">
        <w:rPr>
          <w:sz w:val="28"/>
          <w:szCs w:val="28"/>
        </w:rPr>
        <w:t>нарушение установленного законодательством об обязательном социальном страховании срока регистрации (статьи 15.32, 15.33, 15.33.1 КоАП РФ) – 3805 дел, или 2,0%.</w:t>
      </w:r>
    </w:p>
    <w:p w:rsidR="007C50D0" w:rsidRPr="007C50D0" w:rsidRDefault="007C50D0" w:rsidP="008619A6">
      <w:pPr>
        <w:ind w:firstLine="851"/>
        <w:contextualSpacing/>
        <w:rPr>
          <w:sz w:val="28"/>
          <w:szCs w:val="28"/>
        </w:rPr>
      </w:pPr>
      <w:r w:rsidRPr="007C50D0">
        <w:rPr>
          <w:sz w:val="28"/>
          <w:szCs w:val="28"/>
          <w:u w:val="single"/>
        </w:rPr>
        <w:t>Результаты рассмотрения дел об административных правонарушениях</w:t>
      </w:r>
      <w:r w:rsidRPr="007C50D0">
        <w:rPr>
          <w:sz w:val="28"/>
          <w:szCs w:val="28"/>
        </w:rPr>
        <w:t xml:space="preserve"> в 2017 году характеризуются следующими показателями.</w:t>
      </w:r>
    </w:p>
    <w:p w:rsidR="007C50D0" w:rsidRPr="007C50D0" w:rsidRDefault="007C50D0" w:rsidP="008619A6">
      <w:pPr>
        <w:ind w:firstLine="851"/>
        <w:contextualSpacing/>
        <w:jc w:val="both"/>
        <w:rPr>
          <w:sz w:val="28"/>
          <w:szCs w:val="28"/>
        </w:rPr>
      </w:pPr>
      <w:r w:rsidRPr="007C50D0">
        <w:rPr>
          <w:sz w:val="28"/>
          <w:szCs w:val="28"/>
        </w:rPr>
        <w:t>В 2017 году 88,7% дел (169734) окончено с вынесением постановления о привлечении лица к административной ответственности. В 2016 году установлен практически такой же уровень данного показателя — 91% (159079 дела).</w:t>
      </w:r>
    </w:p>
    <w:p w:rsidR="007C50D0" w:rsidRPr="007C50D0" w:rsidRDefault="007C50D0" w:rsidP="008619A6">
      <w:pPr>
        <w:ind w:firstLine="851"/>
        <w:contextualSpacing/>
        <w:jc w:val="both"/>
        <w:rPr>
          <w:sz w:val="28"/>
          <w:szCs w:val="28"/>
        </w:rPr>
      </w:pPr>
      <w:r w:rsidRPr="007C50D0">
        <w:rPr>
          <w:sz w:val="28"/>
          <w:szCs w:val="28"/>
        </w:rPr>
        <w:t>Количество дел, по которым производство прекращено, составляет 4,1% от числа рассмотренных дел. Незначительное количество дел возвращено для устранения недостатков в протоколах об административных правонарушениях (4,7%) и передано по подведомственности (подсудности) (2,5%).</w:t>
      </w:r>
    </w:p>
    <w:p w:rsidR="007C50D0" w:rsidRPr="007C50D0" w:rsidRDefault="007C50D0" w:rsidP="008619A6">
      <w:pPr>
        <w:ind w:firstLine="851"/>
        <w:contextualSpacing/>
        <w:jc w:val="both"/>
        <w:rPr>
          <w:sz w:val="28"/>
          <w:szCs w:val="28"/>
        </w:rPr>
      </w:pPr>
      <w:r w:rsidRPr="007C50D0">
        <w:rPr>
          <w:sz w:val="28"/>
          <w:szCs w:val="28"/>
        </w:rPr>
        <w:t xml:space="preserve">Виды наказания, примененные к лицам, привлеченным к административной ответственности, наглядно представлены на диаграмме </w:t>
      </w:r>
      <w:r w:rsidR="0016020D">
        <w:rPr>
          <w:sz w:val="28"/>
          <w:szCs w:val="28"/>
        </w:rPr>
        <w:t>24</w:t>
      </w:r>
      <w:r w:rsidRPr="007C50D0">
        <w:rPr>
          <w:sz w:val="28"/>
          <w:szCs w:val="28"/>
        </w:rPr>
        <w:t>.</w:t>
      </w:r>
    </w:p>
    <w:p w:rsidR="007C50D0" w:rsidRPr="007C50D0" w:rsidRDefault="007C50D0" w:rsidP="008619A6">
      <w:pPr>
        <w:ind w:firstLine="851"/>
        <w:contextualSpacing/>
        <w:jc w:val="both"/>
        <w:rPr>
          <w:sz w:val="24"/>
          <w:szCs w:val="24"/>
        </w:rPr>
      </w:pPr>
      <w:r w:rsidRPr="007C50D0">
        <w:rPr>
          <w:sz w:val="28"/>
          <w:szCs w:val="28"/>
        </w:rPr>
        <w:t xml:space="preserve">                                                                                                    </w:t>
      </w:r>
      <w:r w:rsidRPr="007C50D0">
        <w:rPr>
          <w:sz w:val="24"/>
          <w:szCs w:val="24"/>
        </w:rPr>
        <w:t xml:space="preserve">Диаграмма </w:t>
      </w:r>
      <w:r w:rsidR="00F8243A">
        <w:rPr>
          <w:sz w:val="24"/>
          <w:szCs w:val="24"/>
        </w:rPr>
        <w:t>24</w:t>
      </w:r>
    </w:p>
    <w:p w:rsidR="007C50D0" w:rsidRPr="007C50D0" w:rsidRDefault="007C50D0" w:rsidP="00A24002">
      <w:pPr>
        <w:ind w:firstLine="851"/>
        <w:contextualSpacing/>
        <w:jc w:val="both"/>
        <w:rPr>
          <w:sz w:val="28"/>
          <w:szCs w:val="28"/>
        </w:rPr>
      </w:pPr>
      <w:r>
        <w:rPr>
          <w:noProof/>
        </w:rPr>
        <w:drawing>
          <wp:inline distT="0" distB="0" distL="0" distR="0" wp14:anchorId="591543D7" wp14:editId="1FD86B58">
            <wp:extent cx="4860324" cy="2767913"/>
            <wp:effectExtent l="0" t="0" r="16510" b="1397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C50D0" w:rsidRPr="007C50D0" w:rsidRDefault="007C50D0" w:rsidP="008619A6">
      <w:pPr>
        <w:ind w:firstLine="851"/>
        <w:contextualSpacing/>
        <w:jc w:val="both"/>
        <w:rPr>
          <w:sz w:val="28"/>
          <w:szCs w:val="28"/>
        </w:rPr>
      </w:pPr>
      <w:r w:rsidRPr="007C50D0">
        <w:rPr>
          <w:sz w:val="28"/>
          <w:szCs w:val="28"/>
        </w:rPr>
        <w:t xml:space="preserve">В частности: </w:t>
      </w:r>
    </w:p>
    <w:p w:rsidR="007C50D0" w:rsidRPr="00A24002" w:rsidRDefault="007C50D0" w:rsidP="00335DC8">
      <w:pPr>
        <w:pStyle w:val="ab"/>
        <w:numPr>
          <w:ilvl w:val="0"/>
          <w:numId w:val="18"/>
        </w:numPr>
        <w:ind w:left="426" w:hanging="426"/>
        <w:jc w:val="both"/>
        <w:rPr>
          <w:sz w:val="28"/>
          <w:szCs w:val="28"/>
        </w:rPr>
      </w:pPr>
      <w:r w:rsidRPr="00A24002">
        <w:rPr>
          <w:sz w:val="28"/>
          <w:szCs w:val="28"/>
        </w:rPr>
        <w:t>административный арест – 52849 лиц, что составляет 31,1% от общего числа лиц, подвергнутых административному наказанию (ниже уровня показателя 2016 года на 3,1%);</w:t>
      </w:r>
    </w:p>
    <w:p w:rsidR="007C50D0" w:rsidRPr="00A24002" w:rsidRDefault="007C50D0" w:rsidP="00335DC8">
      <w:pPr>
        <w:pStyle w:val="ab"/>
        <w:numPr>
          <w:ilvl w:val="0"/>
          <w:numId w:val="18"/>
        </w:numPr>
        <w:ind w:left="426" w:hanging="426"/>
        <w:jc w:val="both"/>
        <w:rPr>
          <w:sz w:val="28"/>
          <w:szCs w:val="28"/>
        </w:rPr>
      </w:pPr>
      <w:r w:rsidRPr="00A24002">
        <w:rPr>
          <w:sz w:val="28"/>
          <w:szCs w:val="28"/>
        </w:rPr>
        <w:lastRenderedPageBreak/>
        <w:t>штраф – 102144 лица, или 60,2% (выше уровня показателя 2016 года на 1,5%);</w:t>
      </w:r>
    </w:p>
    <w:p w:rsidR="007C50D0" w:rsidRPr="00A24002" w:rsidRDefault="007C50D0" w:rsidP="00335DC8">
      <w:pPr>
        <w:pStyle w:val="ab"/>
        <w:numPr>
          <w:ilvl w:val="0"/>
          <w:numId w:val="18"/>
        </w:numPr>
        <w:ind w:left="426" w:hanging="426"/>
        <w:jc w:val="both"/>
        <w:rPr>
          <w:sz w:val="28"/>
          <w:szCs w:val="28"/>
        </w:rPr>
      </w:pPr>
      <w:r w:rsidRPr="00A24002">
        <w:rPr>
          <w:sz w:val="28"/>
          <w:szCs w:val="28"/>
        </w:rPr>
        <w:t>лишение специального права – 3423 лица, или 2,0% (практически на уровне предыдущего периода);</w:t>
      </w:r>
    </w:p>
    <w:p w:rsidR="007C50D0" w:rsidRPr="00A24002" w:rsidRDefault="007C50D0" w:rsidP="00335DC8">
      <w:pPr>
        <w:pStyle w:val="ab"/>
        <w:numPr>
          <w:ilvl w:val="0"/>
          <w:numId w:val="18"/>
        </w:numPr>
        <w:ind w:left="426" w:hanging="426"/>
        <w:jc w:val="both"/>
        <w:rPr>
          <w:sz w:val="28"/>
          <w:szCs w:val="28"/>
        </w:rPr>
      </w:pPr>
      <w:r w:rsidRPr="00A24002">
        <w:rPr>
          <w:sz w:val="28"/>
          <w:szCs w:val="28"/>
        </w:rPr>
        <w:t>предупреждение (письменное) – 4789 лиц, или 2,8% (практически на уровне предыдущего периода);</w:t>
      </w:r>
    </w:p>
    <w:p w:rsidR="007C50D0" w:rsidRPr="00A24002" w:rsidRDefault="007C50D0" w:rsidP="00335DC8">
      <w:pPr>
        <w:pStyle w:val="ab"/>
        <w:numPr>
          <w:ilvl w:val="0"/>
          <w:numId w:val="18"/>
        </w:numPr>
        <w:ind w:left="426" w:hanging="426"/>
        <w:jc w:val="both"/>
        <w:rPr>
          <w:sz w:val="28"/>
          <w:szCs w:val="28"/>
        </w:rPr>
      </w:pPr>
      <w:r w:rsidRPr="00A24002">
        <w:rPr>
          <w:sz w:val="28"/>
          <w:szCs w:val="28"/>
        </w:rPr>
        <w:t>обязательные работы – 5629 лиц, или 3,3% (выше показателя 2016 года на 1,0%);</w:t>
      </w:r>
    </w:p>
    <w:p w:rsidR="007C50D0" w:rsidRPr="00A24002" w:rsidRDefault="007C50D0" w:rsidP="00335DC8">
      <w:pPr>
        <w:pStyle w:val="ab"/>
        <w:numPr>
          <w:ilvl w:val="0"/>
          <w:numId w:val="18"/>
        </w:numPr>
        <w:ind w:left="426" w:hanging="426"/>
        <w:jc w:val="both"/>
        <w:rPr>
          <w:sz w:val="28"/>
          <w:szCs w:val="28"/>
        </w:rPr>
      </w:pPr>
      <w:r w:rsidRPr="00A24002">
        <w:rPr>
          <w:sz w:val="28"/>
          <w:szCs w:val="28"/>
        </w:rPr>
        <w:t>конфискация как единственная мера наказания – 706 лиц, или 0,4%;</w:t>
      </w:r>
    </w:p>
    <w:p w:rsidR="007C50D0" w:rsidRPr="00A24002" w:rsidRDefault="007C50D0" w:rsidP="00335DC8">
      <w:pPr>
        <w:pStyle w:val="ab"/>
        <w:numPr>
          <w:ilvl w:val="0"/>
          <w:numId w:val="18"/>
        </w:numPr>
        <w:ind w:left="426" w:hanging="426"/>
        <w:jc w:val="both"/>
        <w:rPr>
          <w:sz w:val="28"/>
          <w:szCs w:val="28"/>
        </w:rPr>
      </w:pPr>
      <w:r w:rsidRPr="00A24002">
        <w:rPr>
          <w:sz w:val="28"/>
          <w:szCs w:val="28"/>
        </w:rPr>
        <w:t>дисквалификация – 194 лица, или 0,1%.</w:t>
      </w:r>
    </w:p>
    <w:p w:rsidR="007C50D0" w:rsidRPr="007C50D0" w:rsidRDefault="007C50D0" w:rsidP="008619A6">
      <w:pPr>
        <w:ind w:firstLine="851"/>
        <w:contextualSpacing/>
        <w:jc w:val="both"/>
        <w:rPr>
          <w:spacing w:val="-10"/>
          <w:sz w:val="28"/>
          <w:szCs w:val="28"/>
        </w:rPr>
      </w:pPr>
      <w:r w:rsidRPr="007C50D0">
        <w:rPr>
          <w:spacing w:val="-10"/>
          <w:sz w:val="28"/>
          <w:szCs w:val="28"/>
        </w:rPr>
        <w:t>В качестве дополнительной меры применялись лишение специального права управления транспортным средством в отношении 12916 лиц и конфискация в отношении 659 лиц, что составляет 7,6% и 0,4% соответственно от общего числа лиц, подвергнутых наказанию.</w:t>
      </w:r>
    </w:p>
    <w:p w:rsidR="007C50D0" w:rsidRPr="007C50D0" w:rsidRDefault="007C50D0" w:rsidP="008619A6">
      <w:pPr>
        <w:ind w:firstLine="851"/>
        <w:contextualSpacing/>
        <w:jc w:val="both"/>
        <w:rPr>
          <w:sz w:val="28"/>
          <w:szCs w:val="28"/>
        </w:rPr>
      </w:pPr>
      <w:r w:rsidRPr="007C50D0">
        <w:rPr>
          <w:sz w:val="28"/>
          <w:szCs w:val="28"/>
        </w:rPr>
        <w:t xml:space="preserve">В Таблице </w:t>
      </w:r>
      <w:r w:rsidR="00A24002">
        <w:rPr>
          <w:sz w:val="28"/>
          <w:szCs w:val="28"/>
        </w:rPr>
        <w:t>45</w:t>
      </w:r>
      <w:r w:rsidRPr="007C50D0">
        <w:rPr>
          <w:sz w:val="28"/>
          <w:szCs w:val="28"/>
        </w:rPr>
        <w:t xml:space="preserve"> отражена практика применения мировыми судьями видов административных наказаний при рассмотрении дел по статьям 6.8, 6.9,6.9.1, 6.13,6.16,6.16.1 КоАП РФ.</w:t>
      </w:r>
    </w:p>
    <w:p w:rsidR="007C50D0" w:rsidRPr="007C50D0" w:rsidRDefault="007C50D0" w:rsidP="008619A6">
      <w:pPr>
        <w:ind w:left="1571"/>
        <w:contextualSpacing/>
        <w:jc w:val="both"/>
        <w:rPr>
          <w:sz w:val="24"/>
          <w:szCs w:val="24"/>
        </w:rPr>
      </w:pPr>
      <w:r w:rsidRPr="007C50D0">
        <w:rPr>
          <w:sz w:val="28"/>
          <w:szCs w:val="28"/>
        </w:rPr>
        <w:t xml:space="preserve">                                                                                  </w:t>
      </w:r>
      <w:r w:rsidRPr="007C50D0">
        <w:rPr>
          <w:sz w:val="24"/>
          <w:szCs w:val="24"/>
        </w:rPr>
        <w:t xml:space="preserve">Таблица </w:t>
      </w:r>
      <w:r w:rsidR="00F8243A">
        <w:rPr>
          <w:sz w:val="24"/>
          <w:szCs w:val="24"/>
        </w:rPr>
        <w:t>4</w:t>
      </w:r>
      <w:r w:rsidR="00E45BEB">
        <w:rPr>
          <w:sz w:val="24"/>
          <w:szCs w:val="24"/>
        </w:rPr>
        <w:t>5</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843"/>
        <w:gridCol w:w="992"/>
        <w:gridCol w:w="1559"/>
        <w:gridCol w:w="851"/>
        <w:gridCol w:w="1134"/>
        <w:gridCol w:w="1418"/>
        <w:gridCol w:w="1417"/>
      </w:tblGrid>
      <w:tr w:rsidR="007C50D0" w:rsidRPr="007C50D0" w:rsidTr="00A24002">
        <w:trPr>
          <w:trHeight w:val="866"/>
        </w:trPr>
        <w:tc>
          <w:tcPr>
            <w:tcW w:w="1843" w:type="dxa"/>
            <w:tcBorders>
              <w:top w:val="double" w:sz="4" w:space="0" w:color="auto"/>
              <w:left w:val="doub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p>
        </w:tc>
        <w:tc>
          <w:tcPr>
            <w:tcW w:w="992" w:type="dxa"/>
            <w:tcBorders>
              <w:top w:val="doub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Всего рассмотрено дел</w:t>
            </w:r>
          </w:p>
        </w:tc>
        <w:tc>
          <w:tcPr>
            <w:tcW w:w="1559" w:type="dxa"/>
            <w:tcBorders>
              <w:top w:val="doub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Количество лиц, подвергнутых наказанию</w:t>
            </w:r>
          </w:p>
        </w:tc>
        <w:tc>
          <w:tcPr>
            <w:tcW w:w="851" w:type="dxa"/>
            <w:tcBorders>
              <w:top w:val="doub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Административный арест</w:t>
            </w:r>
          </w:p>
        </w:tc>
        <w:tc>
          <w:tcPr>
            <w:tcW w:w="1134" w:type="dxa"/>
            <w:tcBorders>
              <w:top w:val="doub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Штраф</w:t>
            </w:r>
          </w:p>
        </w:tc>
        <w:tc>
          <w:tcPr>
            <w:tcW w:w="1418" w:type="dxa"/>
            <w:tcBorders>
              <w:top w:val="doub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Наложено штрафов</w:t>
            </w:r>
          </w:p>
          <w:p w:rsidR="007C50D0" w:rsidRPr="007C50D0" w:rsidRDefault="007C50D0" w:rsidP="008619A6">
            <w:pPr>
              <w:contextualSpacing/>
              <w:jc w:val="center"/>
              <w:rPr>
                <w:b/>
                <w:sz w:val="24"/>
                <w:szCs w:val="24"/>
              </w:rPr>
            </w:pPr>
            <w:r w:rsidRPr="007C50D0">
              <w:rPr>
                <w:b/>
                <w:sz w:val="24"/>
                <w:szCs w:val="24"/>
              </w:rPr>
              <w:t>(руб.)</w:t>
            </w:r>
          </w:p>
        </w:tc>
        <w:tc>
          <w:tcPr>
            <w:tcW w:w="1417" w:type="dxa"/>
            <w:tcBorders>
              <w:top w:val="double" w:sz="4" w:space="0" w:color="auto"/>
              <w:left w:val="single" w:sz="4" w:space="0" w:color="auto"/>
              <w:bottom w:val="thickThinLargeGap" w:sz="24" w:space="0" w:color="auto"/>
              <w:right w:val="doub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Взыскано штрафов</w:t>
            </w:r>
          </w:p>
          <w:p w:rsidR="007C50D0" w:rsidRPr="007C50D0" w:rsidRDefault="007C50D0" w:rsidP="008619A6">
            <w:pPr>
              <w:contextualSpacing/>
              <w:jc w:val="center"/>
              <w:rPr>
                <w:b/>
                <w:sz w:val="24"/>
                <w:szCs w:val="24"/>
              </w:rPr>
            </w:pPr>
            <w:r w:rsidRPr="007C50D0">
              <w:rPr>
                <w:b/>
                <w:sz w:val="24"/>
                <w:szCs w:val="24"/>
              </w:rPr>
              <w:t>(руб.)</w:t>
            </w:r>
          </w:p>
        </w:tc>
      </w:tr>
      <w:tr w:rsidR="007C50D0" w:rsidRPr="007C50D0" w:rsidTr="00A24002">
        <w:trPr>
          <w:trHeight w:val="201"/>
        </w:trPr>
        <w:tc>
          <w:tcPr>
            <w:tcW w:w="1843" w:type="dxa"/>
            <w:tcBorders>
              <w:top w:val="thickThinLargeGap" w:sz="24" w:space="0" w:color="auto"/>
              <w:left w:val="double" w:sz="4" w:space="0" w:color="auto"/>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2016</w:t>
            </w:r>
          </w:p>
        </w:tc>
        <w:tc>
          <w:tcPr>
            <w:tcW w:w="992" w:type="dxa"/>
            <w:tcBorders>
              <w:top w:val="thickThinLargeGap" w:sz="2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lang w:val="en-US"/>
              </w:rPr>
            </w:pPr>
            <w:r w:rsidRPr="007C50D0">
              <w:rPr>
                <w:i/>
                <w:sz w:val="24"/>
                <w:szCs w:val="24"/>
                <w:lang w:val="en-US"/>
              </w:rPr>
              <w:t>174870</w:t>
            </w:r>
          </w:p>
        </w:tc>
        <w:tc>
          <w:tcPr>
            <w:tcW w:w="1559" w:type="dxa"/>
            <w:tcBorders>
              <w:top w:val="thickThinLargeGap" w:sz="2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lang w:val="en-US"/>
              </w:rPr>
            </w:pPr>
            <w:r w:rsidRPr="007C50D0">
              <w:rPr>
                <w:i/>
                <w:sz w:val="24"/>
                <w:szCs w:val="24"/>
                <w:lang w:val="en-US"/>
              </w:rPr>
              <w:t>159079</w:t>
            </w:r>
          </w:p>
        </w:tc>
        <w:tc>
          <w:tcPr>
            <w:tcW w:w="851" w:type="dxa"/>
            <w:tcBorders>
              <w:top w:val="thickThinLargeGap" w:sz="2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lang w:val="en-US"/>
              </w:rPr>
            </w:pPr>
            <w:r w:rsidRPr="007C50D0">
              <w:rPr>
                <w:i/>
                <w:sz w:val="24"/>
                <w:szCs w:val="24"/>
                <w:lang w:val="en-US"/>
              </w:rPr>
              <w:t>54375</w:t>
            </w:r>
          </w:p>
        </w:tc>
        <w:tc>
          <w:tcPr>
            <w:tcW w:w="1134" w:type="dxa"/>
            <w:tcBorders>
              <w:top w:val="thickThinLargeGap" w:sz="2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lang w:val="en-US"/>
              </w:rPr>
            </w:pPr>
            <w:r w:rsidRPr="007C50D0">
              <w:rPr>
                <w:i/>
                <w:sz w:val="24"/>
                <w:szCs w:val="24"/>
                <w:lang w:val="en-US"/>
              </w:rPr>
              <w:t>93350</w:t>
            </w:r>
          </w:p>
        </w:tc>
        <w:tc>
          <w:tcPr>
            <w:tcW w:w="1418" w:type="dxa"/>
            <w:tcBorders>
              <w:top w:val="thickThinLargeGap" w:sz="2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lang w:val="en-US"/>
              </w:rPr>
            </w:pPr>
            <w:r w:rsidRPr="007C50D0">
              <w:rPr>
                <w:i/>
                <w:sz w:val="24"/>
                <w:szCs w:val="24"/>
                <w:lang w:val="en-US"/>
              </w:rPr>
              <w:t>2830807761</w:t>
            </w:r>
          </w:p>
        </w:tc>
        <w:tc>
          <w:tcPr>
            <w:tcW w:w="1417" w:type="dxa"/>
            <w:tcBorders>
              <w:top w:val="thickThinLargeGap" w:sz="24" w:space="0" w:color="auto"/>
              <w:bottom w:val="single" w:sz="4"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lang w:val="en-US"/>
              </w:rPr>
            </w:pPr>
            <w:r w:rsidRPr="007C50D0">
              <w:rPr>
                <w:i/>
                <w:sz w:val="24"/>
                <w:szCs w:val="24"/>
                <w:lang w:val="en-US"/>
              </w:rPr>
              <w:t>201896498</w:t>
            </w:r>
          </w:p>
        </w:tc>
      </w:tr>
      <w:tr w:rsidR="007C50D0" w:rsidRPr="007C50D0" w:rsidTr="00A24002">
        <w:trPr>
          <w:trHeight w:val="201"/>
        </w:trPr>
        <w:tc>
          <w:tcPr>
            <w:tcW w:w="1843" w:type="dxa"/>
            <w:tcBorders>
              <w:top w:val="single" w:sz="4" w:space="0" w:color="auto"/>
              <w:left w:val="double" w:sz="4" w:space="0" w:color="auto"/>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Ст. 6.8, 6.9, 6.13,6.16 КоАП РФ</w:t>
            </w:r>
          </w:p>
        </w:tc>
        <w:tc>
          <w:tcPr>
            <w:tcW w:w="992" w:type="dxa"/>
            <w:tcBorders>
              <w:top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lang w:val="en-US"/>
              </w:rPr>
            </w:pPr>
            <w:r w:rsidRPr="007C50D0">
              <w:rPr>
                <w:i/>
                <w:sz w:val="24"/>
                <w:szCs w:val="24"/>
                <w:lang w:val="en-US"/>
              </w:rPr>
              <w:t>4736</w:t>
            </w:r>
          </w:p>
        </w:tc>
        <w:tc>
          <w:tcPr>
            <w:tcW w:w="1559" w:type="dxa"/>
            <w:tcBorders>
              <w:top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lang w:val="en-US"/>
              </w:rPr>
            </w:pPr>
            <w:r w:rsidRPr="007C50D0">
              <w:rPr>
                <w:i/>
                <w:sz w:val="24"/>
                <w:szCs w:val="24"/>
                <w:lang w:val="en-US"/>
              </w:rPr>
              <w:t>4582</w:t>
            </w:r>
          </w:p>
        </w:tc>
        <w:tc>
          <w:tcPr>
            <w:tcW w:w="851" w:type="dxa"/>
            <w:tcBorders>
              <w:top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lang w:val="en-US"/>
              </w:rPr>
            </w:pPr>
            <w:r w:rsidRPr="007C50D0">
              <w:rPr>
                <w:i/>
                <w:sz w:val="24"/>
                <w:szCs w:val="24"/>
                <w:lang w:val="en-US"/>
              </w:rPr>
              <w:t>3441</w:t>
            </w:r>
          </w:p>
        </w:tc>
        <w:tc>
          <w:tcPr>
            <w:tcW w:w="1134" w:type="dxa"/>
            <w:tcBorders>
              <w:top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lang w:val="en-US"/>
              </w:rPr>
            </w:pPr>
            <w:r w:rsidRPr="007C50D0">
              <w:rPr>
                <w:i/>
                <w:sz w:val="24"/>
                <w:szCs w:val="24"/>
                <w:lang w:val="en-US"/>
              </w:rPr>
              <w:t>1140</w:t>
            </w:r>
          </w:p>
        </w:tc>
        <w:tc>
          <w:tcPr>
            <w:tcW w:w="1418" w:type="dxa"/>
            <w:tcBorders>
              <w:top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lang w:val="en-US"/>
              </w:rPr>
            </w:pPr>
            <w:r w:rsidRPr="007C50D0">
              <w:rPr>
                <w:i/>
                <w:sz w:val="24"/>
                <w:szCs w:val="24"/>
                <w:lang w:val="en-US"/>
              </w:rPr>
              <w:t>3710300</w:t>
            </w:r>
          </w:p>
        </w:tc>
        <w:tc>
          <w:tcPr>
            <w:tcW w:w="1417" w:type="dxa"/>
            <w:tcBorders>
              <w:top w:val="single" w:sz="4" w:space="0" w:color="auto"/>
              <w:bottom w:val="single" w:sz="4"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lang w:val="en-US"/>
              </w:rPr>
            </w:pPr>
            <w:r w:rsidRPr="007C50D0">
              <w:rPr>
                <w:i/>
                <w:sz w:val="24"/>
                <w:szCs w:val="24"/>
                <w:lang w:val="en-US"/>
              </w:rPr>
              <w:t>1036700</w:t>
            </w:r>
          </w:p>
        </w:tc>
      </w:tr>
      <w:tr w:rsidR="007C50D0" w:rsidRPr="007C50D0" w:rsidTr="00A24002">
        <w:trPr>
          <w:trHeight w:val="85"/>
        </w:trPr>
        <w:tc>
          <w:tcPr>
            <w:tcW w:w="1843" w:type="dxa"/>
            <w:tcBorders>
              <w:top w:val="single" w:sz="4" w:space="0" w:color="auto"/>
              <w:left w:val="double" w:sz="4" w:space="0" w:color="auto"/>
              <w:bottom w:val="doub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w:t>
            </w:r>
          </w:p>
        </w:tc>
        <w:tc>
          <w:tcPr>
            <w:tcW w:w="992" w:type="dxa"/>
            <w:tcBorders>
              <w:top w:val="single" w:sz="4" w:space="0" w:color="auto"/>
              <w:bottom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w:t>
            </w:r>
            <w:r w:rsidRPr="007C50D0">
              <w:rPr>
                <w:i/>
                <w:sz w:val="24"/>
                <w:szCs w:val="24"/>
                <w:lang w:val="en-US"/>
              </w:rPr>
              <w:t>7</w:t>
            </w:r>
          </w:p>
        </w:tc>
        <w:tc>
          <w:tcPr>
            <w:tcW w:w="1559" w:type="dxa"/>
            <w:tcBorders>
              <w:top w:val="single" w:sz="4" w:space="0" w:color="auto"/>
              <w:bottom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w:t>
            </w:r>
            <w:r w:rsidRPr="007C50D0">
              <w:rPr>
                <w:i/>
                <w:sz w:val="24"/>
                <w:szCs w:val="24"/>
                <w:lang w:val="en-US"/>
              </w:rPr>
              <w:t>9</w:t>
            </w:r>
          </w:p>
        </w:tc>
        <w:tc>
          <w:tcPr>
            <w:tcW w:w="851" w:type="dxa"/>
            <w:tcBorders>
              <w:top w:val="single" w:sz="4" w:space="0" w:color="auto"/>
              <w:bottom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lang w:val="en-US"/>
              </w:rPr>
              <w:t>6</w:t>
            </w:r>
            <w:r w:rsidRPr="007C50D0">
              <w:rPr>
                <w:i/>
                <w:sz w:val="24"/>
                <w:szCs w:val="24"/>
              </w:rPr>
              <w:t>,</w:t>
            </w:r>
            <w:r w:rsidRPr="007C50D0">
              <w:rPr>
                <w:i/>
                <w:sz w:val="24"/>
                <w:szCs w:val="24"/>
                <w:lang w:val="en-US"/>
              </w:rPr>
              <w:t>3</w:t>
            </w:r>
          </w:p>
        </w:tc>
        <w:tc>
          <w:tcPr>
            <w:tcW w:w="1134" w:type="dxa"/>
            <w:tcBorders>
              <w:top w:val="single" w:sz="4" w:space="0" w:color="auto"/>
              <w:bottom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lang w:val="en-US"/>
              </w:rPr>
              <w:t>1</w:t>
            </w:r>
            <w:r w:rsidRPr="007C50D0">
              <w:rPr>
                <w:i/>
                <w:sz w:val="24"/>
                <w:szCs w:val="24"/>
              </w:rPr>
              <w:t>,</w:t>
            </w:r>
            <w:r w:rsidRPr="007C50D0">
              <w:rPr>
                <w:i/>
                <w:sz w:val="24"/>
                <w:szCs w:val="24"/>
                <w:lang w:val="en-US"/>
              </w:rPr>
              <w:t>2</w:t>
            </w:r>
          </w:p>
        </w:tc>
        <w:tc>
          <w:tcPr>
            <w:tcW w:w="1418" w:type="dxa"/>
            <w:tcBorders>
              <w:top w:val="single" w:sz="4" w:space="0" w:color="auto"/>
              <w:bottom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w:t>
            </w:r>
            <w:r w:rsidRPr="007C50D0">
              <w:rPr>
                <w:i/>
                <w:sz w:val="24"/>
                <w:szCs w:val="24"/>
                <w:lang w:val="en-US"/>
              </w:rPr>
              <w:t>1</w:t>
            </w:r>
          </w:p>
        </w:tc>
        <w:tc>
          <w:tcPr>
            <w:tcW w:w="1417" w:type="dxa"/>
            <w:tcBorders>
              <w:top w:val="single" w:sz="4" w:space="0" w:color="auto"/>
              <w:bottom w:val="double" w:sz="4"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0,5</w:t>
            </w:r>
          </w:p>
        </w:tc>
      </w:tr>
      <w:tr w:rsidR="007C50D0" w:rsidRPr="007C50D0" w:rsidTr="00A24002">
        <w:trPr>
          <w:trHeight w:val="57"/>
        </w:trPr>
        <w:tc>
          <w:tcPr>
            <w:tcW w:w="1843" w:type="dxa"/>
            <w:tcBorders>
              <w:top w:val="double" w:sz="4" w:space="0" w:color="auto"/>
              <w:left w:val="double" w:sz="4" w:space="0" w:color="auto"/>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2017</w:t>
            </w:r>
          </w:p>
        </w:tc>
        <w:tc>
          <w:tcPr>
            <w:tcW w:w="992" w:type="dxa"/>
            <w:tcBorders>
              <w:top w:val="doub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lang w:val="en-US"/>
              </w:rPr>
              <w:t>1</w:t>
            </w:r>
            <w:r w:rsidRPr="007C50D0">
              <w:rPr>
                <w:i/>
                <w:sz w:val="24"/>
                <w:szCs w:val="24"/>
              </w:rPr>
              <w:t>91437</w:t>
            </w:r>
          </w:p>
        </w:tc>
        <w:tc>
          <w:tcPr>
            <w:tcW w:w="1559" w:type="dxa"/>
            <w:tcBorders>
              <w:top w:val="doub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169734</w:t>
            </w:r>
          </w:p>
        </w:tc>
        <w:tc>
          <w:tcPr>
            <w:tcW w:w="851" w:type="dxa"/>
            <w:tcBorders>
              <w:top w:val="doub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52849</w:t>
            </w:r>
          </w:p>
        </w:tc>
        <w:tc>
          <w:tcPr>
            <w:tcW w:w="1134" w:type="dxa"/>
            <w:tcBorders>
              <w:top w:val="doub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102144</w:t>
            </w:r>
          </w:p>
        </w:tc>
        <w:tc>
          <w:tcPr>
            <w:tcW w:w="1418" w:type="dxa"/>
            <w:tcBorders>
              <w:top w:val="doub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1239388525</w:t>
            </w:r>
          </w:p>
        </w:tc>
        <w:tc>
          <w:tcPr>
            <w:tcW w:w="1417" w:type="dxa"/>
            <w:tcBorders>
              <w:top w:val="double" w:sz="4" w:space="0" w:color="auto"/>
              <w:bottom w:val="single" w:sz="4"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260598484</w:t>
            </w:r>
          </w:p>
        </w:tc>
      </w:tr>
      <w:tr w:rsidR="007C50D0" w:rsidRPr="007C50D0" w:rsidTr="00A24002">
        <w:trPr>
          <w:trHeight w:val="57"/>
        </w:trPr>
        <w:tc>
          <w:tcPr>
            <w:tcW w:w="1843" w:type="dxa"/>
            <w:tcBorders>
              <w:top w:val="single" w:sz="4" w:space="0" w:color="auto"/>
              <w:left w:val="double" w:sz="4" w:space="0" w:color="auto"/>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Ст. 6.8, 6.9, 6.13,6.16 КоАП РФ</w:t>
            </w:r>
          </w:p>
        </w:tc>
        <w:tc>
          <w:tcPr>
            <w:tcW w:w="992" w:type="dxa"/>
            <w:tcBorders>
              <w:top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7816</w:t>
            </w:r>
          </w:p>
        </w:tc>
        <w:tc>
          <w:tcPr>
            <w:tcW w:w="1559" w:type="dxa"/>
            <w:tcBorders>
              <w:top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7389</w:t>
            </w:r>
          </w:p>
        </w:tc>
        <w:tc>
          <w:tcPr>
            <w:tcW w:w="851" w:type="dxa"/>
            <w:tcBorders>
              <w:top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5566</w:t>
            </w:r>
          </w:p>
        </w:tc>
        <w:tc>
          <w:tcPr>
            <w:tcW w:w="1134" w:type="dxa"/>
            <w:tcBorders>
              <w:top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1822</w:t>
            </w:r>
          </w:p>
        </w:tc>
        <w:tc>
          <w:tcPr>
            <w:tcW w:w="1418" w:type="dxa"/>
            <w:tcBorders>
              <w:top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7001200</w:t>
            </w:r>
          </w:p>
        </w:tc>
        <w:tc>
          <w:tcPr>
            <w:tcW w:w="1417" w:type="dxa"/>
            <w:tcBorders>
              <w:top w:val="single" w:sz="4" w:space="0" w:color="auto"/>
              <w:bottom w:val="single" w:sz="4"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2305760</w:t>
            </w:r>
          </w:p>
        </w:tc>
      </w:tr>
      <w:tr w:rsidR="007C50D0" w:rsidRPr="007C50D0" w:rsidTr="00A24002">
        <w:trPr>
          <w:trHeight w:val="77"/>
        </w:trPr>
        <w:tc>
          <w:tcPr>
            <w:tcW w:w="1843" w:type="dxa"/>
            <w:tcBorders>
              <w:top w:val="single" w:sz="4" w:space="0" w:color="auto"/>
              <w:left w:val="doub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w:t>
            </w:r>
          </w:p>
        </w:tc>
        <w:tc>
          <w:tcPr>
            <w:tcW w:w="992"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4,1</w:t>
            </w:r>
          </w:p>
        </w:tc>
        <w:tc>
          <w:tcPr>
            <w:tcW w:w="1559"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4,4</w:t>
            </w:r>
          </w:p>
        </w:tc>
        <w:tc>
          <w:tcPr>
            <w:tcW w:w="851"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10,5</w:t>
            </w:r>
          </w:p>
        </w:tc>
        <w:tc>
          <w:tcPr>
            <w:tcW w:w="1134"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1,8</w:t>
            </w:r>
          </w:p>
        </w:tc>
        <w:tc>
          <w:tcPr>
            <w:tcW w:w="1418" w:type="dxa"/>
            <w:tcBorders>
              <w:top w:val="single" w:sz="4" w:space="0" w:color="auto"/>
              <w:left w:val="single" w:sz="4" w:space="0" w:color="auto"/>
              <w:bottom w:val="double" w:sz="4" w:space="0" w:color="auto"/>
              <w:right w:val="sing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0,6</w:t>
            </w:r>
          </w:p>
        </w:tc>
        <w:tc>
          <w:tcPr>
            <w:tcW w:w="1417" w:type="dxa"/>
            <w:tcBorders>
              <w:top w:val="single" w:sz="4" w:space="0" w:color="auto"/>
              <w:left w:val="single" w:sz="4" w:space="0" w:color="auto"/>
              <w:bottom w:val="double" w:sz="4"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0,9</w:t>
            </w:r>
          </w:p>
        </w:tc>
      </w:tr>
    </w:tbl>
    <w:p w:rsidR="007C50D0" w:rsidRPr="007C50D0" w:rsidRDefault="007C50D0" w:rsidP="008619A6">
      <w:pPr>
        <w:ind w:firstLine="851"/>
        <w:contextualSpacing/>
        <w:jc w:val="both"/>
        <w:rPr>
          <w:sz w:val="28"/>
          <w:szCs w:val="28"/>
        </w:rPr>
      </w:pPr>
    </w:p>
    <w:p w:rsidR="007C50D0" w:rsidRPr="007C50D0" w:rsidRDefault="007C50D0" w:rsidP="008619A6">
      <w:pPr>
        <w:ind w:firstLine="900"/>
        <w:contextualSpacing/>
        <w:jc w:val="both"/>
        <w:rPr>
          <w:sz w:val="28"/>
          <w:szCs w:val="28"/>
        </w:rPr>
      </w:pPr>
      <w:r w:rsidRPr="007C50D0">
        <w:rPr>
          <w:sz w:val="28"/>
          <w:szCs w:val="28"/>
        </w:rPr>
        <w:t>О категориях лиц, привлеченных к административной ответственности мировыми судьями в 2017 году.</w:t>
      </w:r>
    </w:p>
    <w:p w:rsidR="007C50D0" w:rsidRPr="007C50D0" w:rsidRDefault="007C50D0" w:rsidP="008619A6">
      <w:pPr>
        <w:ind w:firstLine="900"/>
        <w:contextualSpacing/>
        <w:jc w:val="both"/>
        <w:rPr>
          <w:sz w:val="28"/>
          <w:szCs w:val="28"/>
        </w:rPr>
      </w:pPr>
      <w:r w:rsidRPr="007C50D0">
        <w:rPr>
          <w:sz w:val="28"/>
          <w:szCs w:val="28"/>
        </w:rPr>
        <w:t xml:space="preserve">Наиболее весомую долю составляют физические лица — 86% (146019 лиц), что незначительно ниже уровня предыдущего года (на 0,1%). Доля должностных лиц и предпринимателей без образования юридического лица составила 13,3% (19415 лиц), а доля юридических лиц, привлеченных к административной ответственности, составила 2,9% от общего числа лиц (4300 лиц), привлеченных к административной ответственности, что практически на уровне прошлого года. </w:t>
      </w:r>
    </w:p>
    <w:p w:rsidR="007C50D0" w:rsidRPr="007C50D0" w:rsidRDefault="007C50D0" w:rsidP="008619A6">
      <w:pPr>
        <w:ind w:firstLine="900"/>
        <w:contextualSpacing/>
        <w:jc w:val="both"/>
        <w:rPr>
          <w:sz w:val="28"/>
          <w:szCs w:val="28"/>
        </w:rPr>
      </w:pPr>
      <w:r w:rsidRPr="00A24002">
        <w:rPr>
          <w:sz w:val="28"/>
          <w:szCs w:val="28"/>
        </w:rPr>
        <w:t xml:space="preserve">Общая сумма наложенных </w:t>
      </w:r>
      <w:r w:rsidR="00A24002" w:rsidRPr="00A24002">
        <w:rPr>
          <w:sz w:val="28"/>
          <w:szCs w:val="28"/>
        </w:rPr>
        <w:t>в 2017 году</w:t>
      </w:r>
      <w:r w:rsidR="00A24002" w:rsidRPr="00A24002">
        <w:rPr>
          <w:sz w:val="28"/>
          <w:szCs w:val="28"/>
        </w:rPr>
        <w:t xml:space="preserve"> </w:t>
      </w:r>
      <w:r w:rsidRPr="00A24002">
        <w:rPr>
          <w:sz w:val="28"/>
          <w:szCs w:val="28"/>
        </w:rPr>
        <w:t>штрафов по вступившим в законную силу</w:t>
      </w:r>
      <w:r w:rsidR="00A24002" w:rsidRPr="00A24002">
        <w:rPr>
          <w:sz w:val="28"/>
          <w:szCs w:val="28"/>
        </w:rPr>
        <w:t xml:space="preserve"> постановлениям</w:t>
      </w:r>
      <w:r w:rsidRPr="00A24002">
        <w:rPr>
          <w:sz w:val="28"/>
          <w:szCs w:val="28"/>
        </w:rPr>
        <w:t xml:space="preserve">, составила </w:t>
      </w:r>
      <w:r w:rsidRPr="00A24002">
        <w:t xml:space="preserve"> </w:t>
      </w:r>
      <w:r w:rsidRPr="00A24002">
        <w:rPr>
          <w:sz w:val="28"/>
          <w:szCs w:val="28"/>
        </w:rPr>
        <w:t xml:space="preserve">1239388525 рублей, что на 56,2% </w:t>
      </w:r>
      <w:r w:rsidRPr="007C50D0">
        <w:rPr>
          <w:sz w:val="28"/>
          <w:szCs w:val="28"/>
        </w:rPr>
        <w:t xml:space="preserve">меньше, чем в 2016 году. Сумма штрафа, наложенная на юридических лиц, </w:t>
      </w:r>
      <w:r w:rsidRPr="007C50D0">
        <w:rPr>
          <w:sz w:val="28"/>
          <w:szCs w:val="28"/>
        </w:rPr>
        <w:lastRenderedPageBreak/>
        <w:t>составила 58,7% от общей суммы, или 727833696 рублей. Сумма штрафа, наложенная на должностных лиц, составила 1,5% от общей суммы, или 18437133 рублей.</w:t>
      </w:r>
    </w:p>
    <w:p w:rsidR="007C50D0" w:rsidRPr="007C50D0" w:rsidRDefault="007C50D0" w:rsidP="008619A6">
      <w:pPr>
        <w:ind w:firstLine="851"/>
        <w:contextualSpacing/>
        <w:jc w:val="both"/>
        <w:rPr>
          <w:sz w:val="24"/>
          <w:szCs w:val="24"/>
        </w:rPr>
      </w:pPr>
      <w:r w:rsidRPr="007C50D0">
        <w:rPr>
          <w:sz w:val="28"/>
          <w:szCs w:val="28"/>
        </w:rPr>
        <w:t xml:space="preserve">В таблице </w:t>
      </w:r>
      <w:r w:rsidR="00A24002">
        <w:rPr>
          <w:sz w:val="28"/>
          <w:szCs w:val="28"/>
        </w:rPr>
        <w:t>46</w:t>
      </w:r>
      <w:r w:rsidRPr="007C50D0">
        <w:rPr>
          <w:sz w:val="28"/>
          <w:szCs w:val="28"/>
        </w:rPr>
        <w:t xml:space="preserve"> приведены данные, отражающие результаты рассмотрения мировыми судьями дел по отдельным, наиболее часто встречающимся категориям административных правонарушений в 2016-2017 годах.</w:t>
      </w:r>
      <w:r w:rsidRPr="007C50D0">
        <w:rPr>
          <w:color w:val="0000FF"/>
          <w:sz w:val="28"/>
          <w:szCs w:val="28"/>
        </w:rPr>
        <w:t xml:space="preserve"> </w:t>
      </w:r>
      <w:r w:rsidRPr="007C50D0">
        <w:rPr>
          <w:sz w:val="28"/>
          <w:szCs w:val="28"/>
        </w:rPr>
        <w:t>Данные, приведенные в таблице, показывают, что лица, подвергнутые административному наказанию в связи с появлением в общественных местах в состоянии опьянения, за незаконные действия с наркотиками и мелкое хищение имеют наибольший удельный вес, как и в прошлом отчетном периоде.</w:t>
      </w:r>
      <w:r w:rsidRPr="007C50D0">
        <w:rPr>
          <w:sz w:val="24"/>
          <w:szCs w:val="24"/>
        </w:rPr>
        <w:t xml:space="preserve"> </w:t>
      </w:r>
    </w:p>
    <w:p w:rsidR="007C50D0" w:rsidRPr="007C50D0" w:rsidRDefault="007C50D0" w:rsidP="008619A6">
      <w:pPr>
        <w:ind w:firstLine="851"/>
        <w:contextualSpacing/>
        <w:jc w:val="both"/>
        <w:rPr>
          <w:sz w:val="24"/>
          <w:szCs w:val="24"/>
        </w:rPr>
      </w:pPr>
      <w:r w:rsidRPr="007C50D0">
        <w:rPr>
          <w:sz w:val="24"/>
          <w:szCs w:val="24"/>
        </w:rPr>
        <w:t xml:space="preserve">                                                                                                            Таблица </w:t>
      </w:r>
      <w:r w:rsidR="00F8243A">
        <w:rPr>
          <w:sz w:val="24"/>
          <w:szCs w:val="24"/>
        </w:rPr>
        <w:t>4</w:t>
      </w:r>
      <w:r w:rsidR="00E45BEB">
        <w:rPr>
          <w:sz w:val="24"/>
          <w:szCs w:val="24"/>
        </w:rPr>
        <w:t>6</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shd w:val="clear" w:color="auto" w:fill="FFFFFF"/>
        <w:tblLayout w:type="fixed"/>
        <w:tblLook w:val="01E0" w:firstRow="1" w:lastRow="1" w:firstColumn="1" w:lastColumn="1" w:noHBand="0" w:noVBand="0"/>
      </w:tblPr>
      <w:tblGrid>
        <w:gridCol w:w="2694"/>
        <w:gridCol w:w="1275"/>
        <w:gridCol w:w="720"/>
        <w:gridCol w:w="1265"/>
        <w:gridCol w:w="742"/>
        <w:gridCol w:w="1639"/>
        <w:gridCol w:w="879"/>
      </w:tblGrid>
      <w:tr w:rsidR="007C50D0" w:rsidRPr="007C50D0" w:rsidTr="00A24002">
        <w:trPr>
          <w:trHeight w:val="544"/>
        </w:trPr>
        <w:tc>
          <w:tcPr>
            <w:tcW w:w="9214" w:type="dxa"/>
            <w:gridSpan w:val="7"/>
            <w:tcBorders>
              <w:top w:val="double" w:sz="4" w:space="0" w:color="auto"/>
              <w:bottom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Результаты рассмотрения дел мировыми судьями по наиболее распространенным правонарушениям за 12 месяцев</w:t>
            </w:r>
          </w:p>
        </w:tc>
      </w:tr>
      <w:tr w:rsidR="007C50D0" w:rsidRPr="007C50D0" w:rsidTr="00A24002">
        <w:trPr>
          <w:trHeight w:val="1085"/>
        </w:trPr>
        <w:tc>
          <w:tcPr>
            <w:tcW w:w="2694" w:type="dxa"/>
            <w:tcBorders>
              <w:top w:val="single" w:sz="4" w:space="0" w:color="auto"/>
              <w:bottom w:val="thickThinLargeGap" w:sz="2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Категории дел</w:t>
            </w:r>
          </w:p>
        </w:tc>
        <w:tc>
          <w:tcPr>
            <w:tcW w:w="1275" w:type="dxa"/>
            <w:tcBorders>
              <w:top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Количество рассмотренных дел</w:t>
            </w:r>
          </w:p>
        </w:tc>
        <w:tc>
          <w:tcPr>
            <w:tcW w:w="720"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 к</w:t>
            </w:r>
          </w:p>
          <w:p w:rsidR="007C50D0" w:rsidRPr="007C50D0" w:rsidRDefault="007C50D0" w:rsidP="008619A6">
            <w:pPr>
              <w:contextualSpacing/>
              <w:jc w:val="center"/>
              <w:rPr>
                <w:b/>
                <w:sz w:val="24"/>
                <w:szCs w:val="24"/>
              </w:rPr>
            </w:pPr>
            <w:r w:rsidRPr="007C50D0">
              <w:rPr>
                <w:b/>
                <w:sz w:val="24"/>
                <w:szCs w:val="24"/>
              </w:rPr>
              <w:t>общ.</w:t>
            </w:r>
          </w:p>
          <w:p w:rsidR="007C50D0" w:rsidRPr="007C50D0" w:rsidRDefault="007C50D0" w:rsidP="008619A6">
            <w:pPr>
              <w:contextualSpacing/>
              <w:jc w:val="center"/>
              <w:rPr>
                <w:b/>
                <w:sz w:val="24"/>
                <w:szCs w:val="24"/>
              </w:rPr>
            </w:pPr>
            <w:r w:rsidRPr="007C50D0">
              <w:rPr>
                <w:b/>
                <w:sz w:val="24"/>
                <w:szCs w:val="24"/>
              </w:rPr>
              <w:t>кол-ву</w:t>
            </w:r>
          </w:p>
          <w:p w:rsidR="007C50D0" w:rsidRPr="007C50D0" w:rsidRDefault="007C50D0" w:rsidP="008619A6">
            <w:pPr>
              <w:contextualSpacing/>
              <w:jc w:val="center"/>
              <w:rPr>
                <w:b/>
                <w:sz w:val="24"/>
                <w:szCs w:val="24"/>
              </w:rPr>
            </w:pPr>
            <w:r w:rsidRPr="007C50D0">
              <w:rPr>
                <w:b/>
                <w:sz w:val="24"/>
                <w:szCs w:val="24"/>
              </w:rPr>
              <w:t>дел</w:t>
            </w:r>
          </w:p>
        </w:tc>
        <w:tc>
          <w:tcPr>
            <w:tcW w:w="1265"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Количество наказанных лиц</w:t>
            </w:r>
          </w:p>
        </w:tc>
        <w:tc>
          <w:tcPr>
            <w:tcW w:w="742"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Уд.</w:t>
            </w:r>
          </w:p>
          <w:p w:rsidR="007C50D0" w:rsidRPr="007C50D0" w:rsidRDefault="007C50D0" w:rsidP="008619A6">
            <w:pPr>
              <w:contextualSpacing/>
              <w:jc w:val="center"/>
              <w:rPr>
                <w:b/>
                <w:sz w:val="24"/>
                <w:szCs w:val="24"/>
              </w:rPr>
            </w:pPr>
            <w:r w:rsidRPr="007C50D0">
              <w:rPr>
                <w:b/>
                <w:sz w:val="24"/>
                <w:szCs w:val="24"/>
              </w:rPr>
              <w:t>вес</w:t>
            </w:r>
          </w:p>
        </w:tc>
        <w:tc>
          <w:tcPr>
            <w:tcW w:w="1639" w:type="dxa"/>
            <w:tcBorders>
              <w:top w:val="single"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Количество лиц, в отношении которых дела прекращены</w:t>
            </w:r>
          </w:p>
        </w:tc>
        <w:tc>
          <w:tcPr>
            <w:tcW w:w="879" w:type="dxa"/>
            <w:tcBorders>
              <w:top w:val="single" w:sz="4" w:space="0" w:color="auto"/>
              <w:left w:val="single" w:sz="4" w:space="0" w:color="auto"/>
              <w:bottom w:val="thickThinLargeGap" w:sz="2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Уд</w:t>
            </w:r>
            <w:proofErr w:type="gramStart"/>
            <w:r w:rsidRPr="007C50D0">
              <w:rPr>
                <w:b/>
                <w:sz w:val="24"/>
                <w:szCs w:val="24"/>
              </w:rPr>
              <w:t>.</w:t>
            </w:r>
            <w:proofErr w:type="gramEnd"/>
            <w:r w:rsidRPr="007C50D0">
              <w:rPr>
                <w:b/>
                <w:sz w:val="24"/>
                <w:szCs w:val="24"/>
              </w:rPr>
              <w:t xml:space="preserve"> </w:t>
            </w:r>
            <w:proofErr w:type="gramStart"/>
            <w:r w:rsidRPr="007C50D0">
              <w:rPr>
                <w:b/>
                <w:sz w:val="24"/>
                <w:szCs w:val="24"/>
              </w:rPr>
              <w:t>в</w:t>
            </w:r>
            <w:proofErr w:type="gramEnd"/>
            <w:r w:rsidRPr="007C50D0">
              <w:rPr>
                <w:b/>
                <w:sz w:val="24"/>
                <w:szCs w:val="24"/>
              </w:rPr>
              <w:t>ес</w:t>
            </w:r>
          </w:p>
          <w:p w:rsidR="007C50D0" w:rsidRPr="007C50D0" w:rsidRDefault="007C50D0" w:rsidP="008619A6">
            <w:pPr>
              <w:contextualSpacing/>
              <w:jc w:val="center"/>
              <w:rPr>
                <w:b/>
                <w:sz w:val="24"/>
                <w:szCs w:val="24"/>
              </w:rPr>
            </w:pPr>
          </w:p>
        </w:tc>
      </w:tr>
      <w:tr w:rsidR="007C50D0" w:rsidRPr="007C50D0" w:rsidTr="00A24002">
        <w:trPr>
          <w:trHeight w:val="458"/>
        </w:trPr>
        <w:tc>
          <w:tcPr>
            <w:tcW w:w="2694" w:type="dxa"/>
            <w:tcBorders>
              <w:top w:val="thickThinLargeGap" w:sz="24" w:space="0" w:color="auto"/>
              <w:bottom w:val="dotted"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 xml:space="preserve">Неуплата административного штрафа              </w:t>
            </w:r>
            <w:r w:rsidRPr="007C50D0">
              <w:rPr>
                <w:b/>
                <w:sz w:val="22"/>
                <w:szCs w:val="22"/>
              </w:rPr>
              <w:t>2017г</w:t>
            </w:r>
            <w:r w:rsidRPr="007C50D0">
              <w:rPr>
                <w:b/>
                <w:sz w:val="24"/>
                <w:szCs w:val="24"/>
              </w:rPr>
              <w:t>.</w:t>
            </w:r>
          </w:p>
        </w:tc>
        <w:tc>
          <w:tcPr>
            <w:tcW w:w="1275" w:type="dxa"/>
            <w:tcBorders>
              <w:top w:val="thickThinLargeGap" w:sz="2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53573</w:t>
            </w:r>
          </w:p>
        </w:tc>
        <w:tc>
          <w:tcPr>
            <w:tcW w:w="720" w:type="dxa"/>
            <w:tcBorders>
              <w:top w:val="thickThinLargeGap" w:sz="2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27,9</w:t>
            </w:r>
          </w:p>
        </w:tc>
        <w:tc>
          <w:tcPr>
            <w:tcW w:w="1265" w:type="dxa"/>
            <w:tcBorders>
              <w:top w:val="thickThinLargeGap" w:sz="2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47984</w:t>
            </w:r>
          </w:p>
        </w:tc>
        <w:tc>
          <w:tcPr>
            <w:tcW w:w="742" w:type="dxa"/>
            <w:tcBorders>
              <w:top w:val="thickThinLargeGap" w:sz="2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89,6</w:t>
            </w:r>
          </w:p>
        </w:tc>
        <w:tc>
          <w:tcPr>
            <w:tcW w:w="1639" w:type="dxa"/>
            <w:tcBorders>
              <w:top w:val="thickThinLargeGap" w:sz="2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2260</w:t>
            </w:r>
          </w:p>
        </w:tc>
        <w:tc>
          <w:tcPr>
            <w:tcW w:w="879"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4,2</w:t>
            </w:r>
          </w:p>
        </w:tc>
      </w:tr>
      <w:tr w:rsidR="007C50D0" w:rsidRPr="007C50D0" w:rsidTr="00A24002">
        <w:trPr>
          <w:trHeight w:val="62"/>
        </w:trPr>
        <w:tc>
          <w:tcPr>
            <w:tcW w:w="2694" w:type="dxa"/>
            <w:tcBorders>
              <w:top w:val="dotted" w:sz="4" w:space="0" w:color="auto"/>
              <w:bottom w:val="single" w:sz="4" w:space="0" w:color="auto"/>
            </w:tcBorders>
            <w:shd w:val="clear" w:color="auto" w:fill="FFFFFF"/>
            <w:vAlign w:val="center"/>
          </w:tcPr>
          <w:p w:rsidR="007C50D0" w:rsidRPr="007C50D0" w:rsidRDefault="007C50D0" w:rsidP="008619A6">
            <w:pPr>
              <w:contextualSpacing/>
              <w:jc w:val="center"/>
              <w:rPr>
                <w:sz w:val="22"/>
                <w:szCs w:val="22"/>
              </w:rPr>
            </w:pPr>
            <w:r w:rsidRPr="007C50D0">
              <w:rPr>
                <w:sz w:val="22"/>
                <w:szCs w:val="22"/>
              </w:rPr>
              <w:t>2016 г.</w:t>
            </w:r>
          </w:p>
        </w:tc>
        <w:tc>
          <w:tcPr>
            <w:tcW w:w="1275" w:type="dxa"/>
            <w:tcBorders>
              <w:top w:val="dotted"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59388</w:t>
            </w:r>
          </w:p>
        </w:tc>
        <w:tc>
          <w:tcPr>
            <w:tcW w:w="720"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34</w:t>
            </w:r>
          </w:p>
        </w:tc>
        <w:tc>
          <w:tcPr>
            <w:tcW w:w="1265"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53980</w:t>
            </w:r>
          </w:p>
        </w:tc>
        <w:tc>
          <w:tcPr>
            <w:tcW w:w="742"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91</w:t>
            </w:r>
          </w:p>
        </w:tc>
        <w:tc>
          <w:tcPr>
            <w:tcW w:w="1639"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2152</w:t>
            </w:r>
          </w:p>
        </w:tc>
        <w:tc>
          <w:tcPr>
            <w:tcW w:w="879" w:type="dxa"/>
            <w:tcBorders>
              <w:top w:val="dotted" w:sz="4" w:space="0" w:color="auto"/>
              <w:left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3,6</w:t>
            </w:r>
          </w:p>
        </w:tc>
      </w:tr>
      <w:tr w:rsidR="007C50D0" w:rsidRPr="007C50D0" w:rsidTr="00A24002">
        <w:trPr>
          <w:trHeight w:val="187"/>
        </w:trPr>
        <w:tc>
          <w:tcPr>
            <w:tcW w:w="2694" w:type="dxa"/>
            <w:tcBorders>
              <w:top w:val="single" w:sz="4" w:space="0" w:color="auto"/>
              <w:bottom w:val="dotted" w:sz="4" w:space="0" w:color="auto"/>
            </w:tcBorders>
            <w:shd w:val="clear" w:color="auto" w:fill="FFFFFF"/>
            <w:vAlign w:val="center"/>
          </w:tcPr>
          <w:p w:rsidR="007C50D0" w:rsidRPr="007C50D0" w:rsidRDefault="007C50D0" w:rsidP="008619A6">
            <w:pPr>
              <w:ind w:left="-38"/>
              <w:contextualSpacing/>
              <w:jc w:val="center"/>
              <w:rPr>
                <w:b/>
                <w:sz w:val="24"/>
                <w:szCs w:val="24"/>
              </w:rPr>
            </w:pPr>
            <w:r w:rsidRPr="007C50D0">
              <w:rPr>
                <w:b/>
                <w:sz w:val="24"/>
                <w:szCs w:val="24"/>
              </w:rPr>
              <w:t>Правонарушения  в области дорожного</w:t>
            </w:r>
          </w:p>
          <w:p w:rsidR="007C50D0" w:rsidRPr="007C50D0" w:rsidRDefault="007C50D0" w:rsidP="008619A6">
            <w:pPr>
              <w:ind w:hanging="38"/>
              <w:contextualSpacing/>
              <w:jc w:val="center"/>
              <w:rPr>
                <w:b/>
                <w:sz w:val="24"/>
                <w:szCs w:val="24"/>
              </w:rPr>
            </w:pPr>
            <w:r w:rsidRPr="007C50D0">
              <w:rPr>
                <w:b/>
                <w:sz w:val="24"/>
                <w:szCs w:val="24"/>
              </w:rPr>
              <w:t xml:space="preserve">движения </w:t>
            </w:r>
            <w:r w:rsidRPr="007C50D0">
              <w:rPr>
                <w:b/>
                <w:sz w:val="22"/>
                <w:szCs w:val="22"/>
              </w:rPr>
              <w:t>2017 г.</w:t>
            </w:r>
          </w:p>
        </w:tc>
        <w:tc>
          <w:tcPr>
            <w:tcW w:w="1275"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31027</w:t>
            </w:r>
          </w:p>
        </w:tc>
        <w:tc>
          <w:tcPr>
            <w:tcW w:w="720"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16,2</w:t>
            </w:r>
          </w:p>
        </w:tc>
        <w:tc>
          <w:tcPr>
            <w:tcW w:w="1265"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26946</w:t>
            </w:r>
          </w:p>
        </w:tc>
        <w:tc>
          <w:tcPr>
            <w:tcW w:w="74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86,8</w:t>
            </w:r>
          </w:p>
        </w:tc>
        <w:tc>
          <w:tcPr>
            <w:tcW w:w="1639"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352</w:t>
            </w:r>
          </w:p>
        </w:tc>
        <w:tc>
          <w:tcPr>
            <w:tcW w:w="879"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1,1</w:t>
            </w:r>
          </w:p>
        </w:tc>
      </w:tr>
      <w:tr w:rsidR="007C50D0" w:rsidRPr="007C50D0" w:rsidTr="00A24002">
        <w:trPr>
          <w:trHeight w:val="62"/>
        </w:trPr>
        <w:tc>
          <w:tcPr>
            <w:tcW w:w="2694" w:type="dxa"/>
            <w:tcBorders>
              <w:top w:val="dotted" w:sz="4" w:space="0" w:color="auto"/>
              <w:bottom w:val="single" w:sz="4" w:space="0" w:color="auto"/>
            </w:tcBorders>
            <w:shd w:val="clear" w:color="auto" w:fill="FFFFFF"/>
            <w:vAlign w:val="center"/>
          </w:tcPr>
          <w:p w:rsidR="007C50D0" w:rsidRPr="007C50D0" w:rsidRDefault="007C50D0" w:rsidP="008619A6">
            <w:pPr>
              <w:contextualSpacing/>
              <w:jc w:val="center"/>
              <w:rPr>
                <w:sz w:val="24"/>
                <w:szCs w:val="24"/>
              </w:rPr>
            </w:pPr>
            <w:r w:rsidRPr="007C50D0">
              <w:rPr>
                <w:sz w:val="24"/>
                <w:szCs w:val="24"/>
              </w:rPr>
              <w:t>2016 г.</w:t>
            </w:r>
          </w:p>
        </w:tc>
        <w:tc>
          <w:tcPr>
            <w:tcW w:w="1275" w:type="dxa"/>
            <w:tcBorders>
              <w:top w:val="dotted"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24576</w:t>
            </w:r>
          </w:p>
        </w:tc>
        <w:tc>
          <w:tcPr>
            <w:tcW w:w="720"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14</w:t>
            </w:r>
          </w:p>
        </w:tc>
        <w:tc>
          <w:tcPr>
            <w:tcW w:w="1265"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22160</w:t>
            </w:r>
          </w:p>
        </w:tc>
        <w:tc>
          <w:tcPr>
            <w:tcW w:w="742"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90,2</w:t>
            </w:r>
          </w:p>
        </w:tc>
        <w:tc>
          <w:tcPr>
            <w:tcW w:w="1639"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356</w:t>
            </w:r>
          </w:p>
        </w:tc>
        <w:tc>
          <w:tcPr>
            <w:tcW w:w="879" w:type="dxa"/>
            <w:tcBorders>
              <w:top w:val="dotted" w:sz="4" w:space="0" w:color="auto"/>
              <w:left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1,4</w:t>
            </w:r>
          </w:p>
        </w:tc>
      </w:tr>
      <w:tr w:rsidR="007C50D0" w:rsidRPr="007C50D0" w:rsidTr="00A24002">
        <w:trPr>
          <w:trHeight w:val="62"/>
        </w:trPr>
        <w:tc>
          <w:tcPr>
            <w:tcW w:w="2694" w:type="dxa"/>
            <w:tcBorders>
              <w:top w:val="single" w:sz="4" w:space="0" w:color="auto"/>
              <w:bottom w:val="dotted" w:sz="4" w:space="0" w:color="auto"/>
            </w:tcBorders>
            <w:shd w:val="clear" w:color="auto" w:fill="FFFFFF"/>
            <w:vAlign w:val="center"/>
          </w:tcPr>
          <w:p w:rsidR="007C50D0" w:rsidRPr="007C50D0" w:rsidRDefault="007C50D0" w:rsidP="008619A6">
            <w:pPr>
              <w:contextualSpacing/>
              <w:jc w:val="center"/>
              <w:rPr>
                <w:sz w:val="24"/>
                <w:szCs w:val="24"/>
              </w:rPr>
            </w:pPr>
            <w:r w:rsidRPr="007C50D0">
              <w:rPr>
                <w:b/>
                <w:sz w:val="24"/>
                <w:szCs w:val="24"/>
              </w:rPr>
              <w:t>Появление в общественных местах в состоянии опьянения</w:t>
            </w:r>
          </w:p>
          <w:p w:rsidR="007C50D0" w:rsidRPr="007C50D0" w:rsidRDefault="007C50D0" w:rsidP="008619A6">
            <w:pPr>
              <w:contextualSpacing/>
              <w:jc w:val="center"/>
              <w:rPr>
                <w:b/>
                <w:sz w:val="22"/>
                <w:szCs w:val="22"/>
              </w:rPr>
            </w:pPr>
            <w:r w:rsidRPr="007C50D0">
              <w:rPr>
                <w:b/>
                <w:sz w:val="22"/>
                <w:szCs w:val="22"/>
              </w:rPr>
              <w:t>2017 г.</w:t>
            </w:r>
          </w:p>
        </w:tc>
        <w:tc>
          <w:tcPr>
            <w:tcW w:w="1275"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17217</w:t>
            </w:r>
          </w:p>
        </w:tc>
        <w:tc>
          <w:tcPr>
            <w:tcW w:w="720"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9,0</w:t>
            </w:r>
          </w:p>
        </w:tc>
        <w:tc>
          <w:tcPr>
            <w:tcW w:w="1265"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16633</w:t>
            </w:r>
          </w:p>
        </w:tc>
        <w:tc>
          <w:tcPr>
            <w:tcW w:w="74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96,6</w:t>
            </w:r>
          </w:p>
        </w:tc>
        <w:tc>
          <w:tcPr>
            <w:tcW w:w="1639"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56</w:t>
            </w:r>
          </w:p>
        </w:tc>
        <w:tc>
          <w:tcPr>
            <w:tcW w:w="879"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0,3</w:t>
            </w:r>
          </w:p>
        </w:tc>
      </w:tr>
      <w:tr w:rsidR="007C50D0" w:rsidRPr="007C50D0" w:rsidTr="00A24002">
        <w:trPr>
          <w:trHeight w:val="62"/>
        </w:trPr>
        <w:tc>
          <w:tcPr>
            <w:tcW w:w="2694" w:type="dxa"/>
            <w:tcBorders>
              <w:top w:val="dotted" w:sz="4" w:space="0" w:color="auto"/>
              <w:bottom w:val="single" w:sz="4" w:space="0" w:color="auto"/>
            </w:tcBorders>
            <w:shd w:val="clear" w:color="auto" w:fill="FFFFFF"/>
            <w:vAlign w:val="center"/>
          </w:tcPr>
          <w:p w:rsidR="007C50D0" w:rsidRPr="007C50D0" w:rsidRDefault="007C50D0" w:rsidP="008619A6">
            <w:pPr>
              <w:contextualSpacing/>
              <w:jc w:val="center"/>
              <w:rPr>
                <w:sz w:val="22"/>
                <w:szCs w:val="22"/>
              </w:rPr>
            </w:pPr>
            <w:r w:rsidRPr="007C50D0">
              <w:rPr>
                <w:sz w:val="22"/>
                <w:szCs w:val="22"/>
              </w:rPr>
              <w:t>2016 г.</w:t>
            </w:r>
          </w:p>
        </w:tc>
        <w:tc>
          <w:tcPr>
            <w:tcW w:w="1275" w:type="dxa"/>
            <w:tcBorders>
              <w:top w:val="dotted"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14502</w:t>
            </w:r>
          </w:p>
        </w:tc>
        <w:tc>
          <w:tcPr>
            <w:tcW w:w="720"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8,3</w:t>
            </w:r>
          </w:p>
        </w:tc>
        <w:tc>
          <w:tcPr>
            <w:tcW w:w="1265"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14323</w:t>
            </w:r>
          </w:p>
        </w:tc>
        <w:tc>
          <w:tcPr>
            <w:tcW w:w="742"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98,8</w:t>
            </w:r>
          </w:p>
        </w:tc>
        <w:tc>
          <w:tcPr>
            <w:tcW w:w="1639"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25</w:t>
            </w:r>
          </w:p>
        </w:tc>
        <w:tc>
          <w:tcPr>
            <w:tcW w:w="879" w:type="dxa"/>
            <w:tcBorders>
              <w:top w:val="dotted" w:sz="4" w:space="0" w:color="auto"/>
              <w:left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0,2</w:t>
            </w:r>
          </w:p>
        </w:tc>
      </w:tr>
      <w:tr w:rsidR="007C50D0" w:rsidRPr="007C50D0" w:rsidTr="00A24002">
        <w:trPr>
          <w:trHeight w:val="407"/>
        </w:trPr>
        <w:tc>
          <w:tcPr>
            <w:tcW w:w="2694" w:type="dxa"/>
            <w:tcBorders>
              <w:top w:val="single" w:sz="4" w:space="0" w:color="auto"/>
              <w:bottom w:val="dotted"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Нарушение сроков представления налоговой декларации</w:t>
            </w:r>
          </w:p>
          <w:p w:rsidR="007C50D0" w:rsidRPr="007C50D0" w:rsidRDefault="007C50D0" w:rsidP="008619A6">
            <w:pPr>
              <w:contextualSpacing/>
              <w:jc w:val="center"/>
              <w:rPr>
                <w:b/>
                <w:sz w:val="24"/>
                <w:szCs w:val="24"/>
              </w:rPr>
            </w:pPr>
            <w:r w:rsidRPr="007C50D0">
              <w:rPr>
                <w:b/>
                <w:sz w:val="22"/>
                <w:szCs w:val="22"/>
              </w:rPr>
              <w:t>2017 г.</w:t>
            </w:r>
          </w:p>
        </w:tc>
        <w:tc>
          <w:tcPr>
            <w:tcW w:w="1275"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15085</w:t>
            </w:r>
          </w:p>
        </w:tc>
        <w:tc>
          <w:tcPr>
            <w:tcW w:w="720"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7,9</w:t>
            </w:r>
          </w:p>
        </w:tc>
        <w:tc>
          <w:tcPr>
            <w:tcW w:w="1265"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13021</w:t>
            </w:r>
          </w:p>
        </w:tc>
        <w:tc>
          <w:tcPr>
            <w:tcW w:w="74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86,3</w:t>
            </w:r>
          </w:p>
        </w:tc>
        <w:tc>
          <w:tcPr>
            <w:tcW w:w="1639"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1098</w:t>
            </w:r>
          </w:p>
        </w:tc>
        <w:tc>
          <w:tcPr>
            <w:tcW w:w="879"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7,3</w:t>
            </w:r>
          </w:p>
        </w:tc>
      </w:tr>
      <w:tr w:rsidR="007C50D0" w:rsidRPr="007C50D0" w:rsidTr="00A24002">
        <w:trPr>
          <w:trHeight w:val="62"/>
        </w:trPr>
        <w:tc>
          <w:tcPr>
            <w:tcW w:w="2694" w:type="dxa"/>
            <w:tcBorders>
              <w:top w:val="dotted" w:sz="4" w:space="0" w:color="auto"/>
              <w:bottom w:val="single" w:sz="4" w:space="0" w:color="auto"/>
            </w:tcBorders>
            <w:shd w:val="clear" w:color="auto" w:fill="FFFFFF"/>
            <w:vAlign w:val="center"/>
          </w:tcPr>
          <w:p w:rsidR="007C50D0" w:rsidRPr="007C50D0" w:rsidRDefault="007C50D0" w:rsidP="008619A6">
            <w:pPr>
              <w:contextualSpacing/>
              <w:jc w:val="center"/>
              <w:rPr>
                <w:sz w:val="22"/>
                <w:szCs w:val="22"/>
              </w:rPr>
            </w:pPr>
            <w:r w:rsidRPr="007C50D0">
              <w:rPr>
                <w:sz w:val="22"/>
                <w:szCs w:val="22"/>
              </w:rPr>
              <w:t>2016 г.</w:t>
            </w:r>
          </w:p>
        </w:tc>
        <w:tc>
          <w:tcPr>
            <w:tcW w:w="1275" w:type="dxa"/>
            <w:tcBorders>
              <w:top w:val="dotted"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12713</w:t>
            </w:r>
          </w:p>
        </w:tc>
        <w:tc>
          <w:tcPr>
            <w:tcW w:w="720"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7,3</w:t>
            </w:r>
          </w:p>
        </w:tc>
        <w:tc>
          <w:tcPr>
            <w:tcW w:w="1265"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11199</w:t>
            </w:r>
          </w:p>
        </w:tc>
        <w:tc>
          <w:tcPr>
            <w:tcW w:w="742"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88,1</w:t>
            </w:r>
          </w:p>
        </w:tc>
        <w:tc>
          <w:tcPr>
            <w:tcW w:w="1639"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761</w:t>
            </w:r>
          </w:p>
        </w:tc>
        <w:tc>
          <w:tcPr>
            <w:tcW w:w="879" w:type="dxa"/>
            <w:tcBorders>
              <w:top w:val="dotted" w:sz="4" w:space="0" w:color="auto"/>
              <w:left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6,0</w:t>
            </w:r>
          </w:p>
        </w:tc>
      </w:tr>
      <w:tr w:rsidR="007C50D0" w:rsidRPr="007C50D0" w:rsidTr="00A24002">
        <w:trPr>
          <w:trHeight w:val="62"/>
        </w:trPr>
        <w:tc>
          <w:tcPr>
            <w:tcW w:w="2694" w:type="dxa"/>
            <w:tcBorders>
              <w:top w:val="single" w:sz="4" w:space="0" w:color="auto"/>
              <w:bottom w:val="dotted" w:sz="4" w:space="0" w:color="auto"/>
            </w:tcBorders>
            <w:shd w:val="clear" w:color="auto" w:fill="FFFFFF"/>
            <w:vAlign w:val="center"/>
          </w:tcPr>
          <w:p w:rsidR="007C50D0" w:rsidRPr="007C50D0" w:rsidRDefault="007C50D0" w:rsidP="008619A6">
            <w:pPr>
              <w:contextualSpacing/>
              <w:jc w:val="center"/>
              <w:rPr>
                <w:sz w:val="24"/>
                <w:szCs w:val="24"/>
              </w:rPr>
            </w:pPr>
            <w:r w:rsidRPr="007C50D0">
              <w:rPr>
                <w:b/>
                <w:sz w:val="24"/>
                <w:szCs w:val="24"/>
              </w:rPr>
              <w:t>Мелкое хищение</w:t>
            </w:r>
          </w:p>
          <w:p w:rsidR="007C50D0" w:rsidRPr="007C50D0" w:rsidRDefault="007C50D0" w:rsidP="008619A6">
            <w:pPr>
              <w:contextualSpacing/>
              <w:jc w:val="center"/>
              <w:rPr>
                <w:b/>
                <w:sz w:val="22"/>
                <w:szCs w:val="22"/>
              </w:rPr>
            </w:pPr>
            <w:r w:rsidRPr="007C50D0">
              <w:rPr>
                <w:b/>
                <w:sz w:val="22"/>
                <w:szCs w:val="22"/>
              </w:rPr>
              <w:t>2017 г.</w:t>
            </w:r>
          </w:p>
        </w:tc>
        <w:tc>
          <w:tcPr>
            <w:tcW w:w="1275"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11109</w:t>
            </w:r>
          </w:p>
        </w:tc>
        <w:tc>
          <w:tcPr>
            <w:tcW w:w="720"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5,8</w:t>
            </w:r>
          </w:p>
        </w:tc>
        <w:tc>
          <w:tcPr>
            <w:tcW w:w="1265"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10322</w:t>
            </w:r>
          </w:p>
        </w:tc>
        <w:tc>
          <w:tcPr>
            <w:tcW w:w="74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92,9</w:t>
            </w:r>
          </w:p>
        </w:tc>
        <w:tc>
          <w:tcPr>
            <w:tcW w:w="1639"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256</w:t>
            </w:r>
          </w:p>
        </w:tc>
        <w:tc>
          <w:tcPr>
            <w:tcW w:w="879"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2,3</w:t>
            </w:r>
          </w:p>
        </w:tc>
      </w:tr>
      <w:tr w:rsidR="007C50D0" w:rsidRPr="007C50D0" w:rsidTr="00A24002">
        <w:trPr>
          <w:trHeight w:val="62"/>
        </w:trPr>
        <w:tc>
          <w:tcPr>
            <w:tcW w:w="2694" w:type="dxa"/>
            <w:tcBorders>
              <w:top w:val="dotted" w:sz="4" w:space="0" w:color="auto"/>
              <w:bottom w:val="single" w:sz="4" w:space="0" w:color="auto"/>
            </w:tcBorders>
            <w:shd w:val="clear" w:color="auto" w:fill="FFFFFF"/>
            <w:vAlign w:val="center"/>
          </w:tcPr>
          <w:p w:rsidR="007C50D0" w:rsidRPr="007C50D0" w:rsidRDefault="007C50D0" w:rsidP="008619A6">
            <w:pPr>
              <w:contextualSpacing/>
              <w:jc w:val="center"/>
              <w:rPr>
                <w:sz w:val="22"/>
                <w:szCs w:val="22"/>
              </w:rPr>
            </w:pPr>
            <w:r w:rsidRPr="007C50D0">
              <w:rPr>
                <w:sz w:val="22"/>
                <w:szCs w:val="22"/>
              </w:rPr>
              <w:t>2016  г.</w:t>
            </w:r>
          </w:p>
        </w:tc>
        <w:tc>
          <w:tcPr>
            <w:tcW w:w="1275" w:type="dxa"/>
            <w:tcBorders>
              <w:top w:val="dotted"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8890</w:t>
            </w:r>
          </w:p>
        </w:tc>
        <w:tc>
          <w:tcPr>
            <w:tcW w:w="720"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5,1</w:t>
            </w:r>
          </w:p>
        </w:tc>
        <w:tc>
          <w:tcPr>
            <w:tcW w:w="1265"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8441</w:t>
            </w:r>
          </w:p>
        </w:tc>
        <w:tc>
          <w:tcPr>
            <w:tcW w:w="742"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95</w:t>
            </w:r>
          </w:p>
        </w:tc>
        <w:tc>
          <w:tcPr>
            <w:tcW w:w="1639"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260</w:t>
            </w:r>
          </w:p>
        </w:tc>
        <w:tc>
          <w:tcPr>
            <w:tcW w:w="879" w:type="dxa"/>
            <w:tcBorders>
              <w:top w:val="dotted" w:sz="4" w:space="0" w:color="auto"/>
              <w:left w:val="single" w:sz="4" w:space="0" w:color="auto"/>
              <w:bottom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2,9</w:t>
            </w:r>
          </w:p>
        </w:tc>
      </w:tr>
      <w:tr w:rsidR="007C50D0" w:rsidRPr="007C50D0" w:rsidTr="00A24002">
        <w:trPr>
          <w:trHeight w:val="62"/>
        </w:trPr>
        <w:tc>
          <w:tcPr>
            <w:tcW w:w="2694" w:type="dxa"/>
            <w:tcBorders>
              <w:top w:val="single" w:sz="4" w:space="0" w:color="auto"/>
              <w:bottom w:val="dotted"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 xml:space="preserve">Незаконные действия с наркотиками </w:t>
            </w:r>
            <w:r w:rsidRPr="007C50D0">
              <w:rPr>
                <w:b/>
                <w:sz w:val="22"/>
                <w:szCs w:val="22"/>
              </w:rPr>
              <w:t>2017 г</w:t>
            </w:r>
            <w:r w:rsidRPr="007C50D0">
              <w:rPr>
                <w:b/>
                <w:sz w:val="24"/>
                <w:szCs w:val="24"/>
              </w:rPr>
              <w:t>.</w:t>
            </w:r>
          </w:p>
        </w:tc>
        <w:tc>
          <w:tcPr>
            <w:tcW w:w="1275"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7816</w:t>
            </w:r>
          </w:p>
        </w:tc>
        <w:tc>
          <w:tcPr>
            <w:tcW w:w="720"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4,1</w:t>
            </w:r>
          </w:p>
        </w:tc>
        <w:tc>
          <w:tcPr>
            <w:tcW w:w="1265"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7389</w:t>
            </w:r>
          </w:p>
        </w:tc>
        <w:tc>
          <w:tcPr>
            <w:tcW w:w="74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94,5</w:t>
            </w:r>
          </w:p>
        </w:tc>
        <w:tc>
          <w:tcPr>
            <w:tcW w:w="1639"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44</w:t>
            </w:r>
          </w:p>
        </w:tc>
        <w:tc>
          <w:tcPr>
            <w:tcW w:w="879"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0,6</w:t>
            </w:r>
          </w:p>
        </w:tc>
      </w:tr>
      <w:tr w:rsidR="007C50D0" w:rsidRPr="007C50D0" w:rsidTr="00A24002">
        <w:trPr>
          <w:trHeight w:val="62"/>
        </w:trPr>
        <w:tc>
          <w:tcPr>
            <w:tcW w:w="2694" w:type="dxa"/>
            <w:tcBorders>
              <w:top w:val="dotted" w:sz="4" w:space="0" w:color="auto"/>
              <w:bottom w:val="single" w:sz="4" w:space="0" w:color="auto"/>
            </w:tcBorders>
            <w:shd w:val="clear" w:color="auto" w:fill="FFFFFF"/>
            <w:vAlign w:val="center"/>
          </w:tcPr>
          <w:p w:rsidR="007C50D0" w:rsidRPr="007C50D0" w:rsidRDefault="007C50D0" w:rsidP="008619A6">
            <w:pPr>
              <w:contextualSpacing/>
              <w:jc w:val="center"/>
              <w:rPr>
                <w:sz w:val="22"/>
                <w:szCs w:val="22"/>
              </w:rPr>
            </w:pPr>
            <w:r w:rsidRPr="007C50D0">
              <w:rPr>
                <w:sz w:val="22"/>
                <w:szCs w:val="22"/>
              </w:rPr>
              <w:t>2016  г.</w:t>
            </w:r>
          </w:p>
        </w:tc>
        <w:tc>
          <w:tcPr>
            <w:tcW w:w="1275" w:type="dxa"/>
            <w:tcBorders>
              <w:top w:val="dotted"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4736</w:t>
            </w:r>
          </w:p>
        </w:tc>
        <w:tc>
          <w:tcPr>
            <w:tcW w:w="720"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2,7</w:t>
            </w:r>
          </w:p>
        </w:tc>
        <w:tc>
          <w:tcPr>
            <w:tcW w:w="1265"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4582</w:t>
            </w:r>
          </w:p>
        </w:tc>
        <w:tc>
          <w:tcPr>
            <w:tcW w:w="742"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96,7</w:t>
            </w:r>
          </w:p>
        </w:tc>
        <w:tc>
          <w:tcPr>
            <w:tcW w:w="1639" w:type="dxa"/>
            <w:tcBorders>
              <w:top w:val="dotted" w:sz="4" w:space="0" w:color="auto"/>
              <w:left w:val="single" w:sz="4" w:space="0" w:color="auto"/>
              <w:bottom w:val="single" w:sz="4" w:space="0" w:color="auto"/>
              <w:right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13</w:t>
            </w:r>
          </w:p>
        </w:tc>
        <w:tc>
          <w:tcPr>
            <w:tcW w:w="879" w:type="dxa"/>
            <w:tcBorders>
              <w:top w:val="dotted" w:sz="4" w:space="0" w:color="auto"/>
              <w:left w:val="single" w:sz="4" w:space="0" w:color="auto"/>
              <w:bottom w:val="single" w:sz="4" w:space="0" w:color="auto"/>
            </w:tcBorders>
            <w:shd w:val="clear" w:color="auto" w:fill="FFFFFF"/>
            <w:vAlign w:val="center"/>
          </w:tcPr>
          <w:p w:rsidR="007C50D0" w:rsidRPr="007C50D0" w:rsidRDefault="007C50D0" w:rsidP="008619A6">
            <w:pPr>
              <w:contextualSpacing/>
              <w:jc w:val="center"/>
              <w:rPr>
                <w:i/>
                <w:sz w:val="22"/>
                <w:szCs w:val="22"/>
              </w:rPr>
            </w:pPr>
            <w:r w:rsidRPr="007C50D0">
              <w:rPr>
                <w:i/>
                <w:sz w:val="22"/>
                <w:szCs w:val="22"/>
              </w:rPr>
              <w:t>0,3</w:t>
            </w:r>
          </w:p>
        </w:tc>
      </w:tr>
      <w:tr w:rsidR="007C50D0" w:rsidRPr="007C50D0" w:rsidTr="00A24002">
        <w:trPr>
          <w:trHeight w:val="62"/>
        </w:trPr>
        <w:tc>
          <w:tcPr>
            <w:tcW w:w="2694" w:type="dxa"/>
            <w:tcBorders>
              <w:top w:val="single" w:sz="4" w:space="0" w:color="auto"/>
              <w:bottom w:val="dotted" w:sz="4" w:space="0" w:color="auto"/>
            </w:tcBorders>
            <w:shd w:val="clear" w:color="auto" w:fill="FFFFFF"/>
            <w:vAlign w:val="center"/>
          </w:tcPr>
          <w:p w:rsidR="007C50D0" w:rsidRPr="007C50D0" w:rsidRDefault="007C50D0" w:rsidP="008619A6">
            <w:pPr>
              <w:contextualSpacing/>
              <w:jc w:val="center"/>
              <w:rPr>
                <w:sz w:val="24"/>
                <w:szCs w:val="24"/>
              </w:rPr>
            </w:pPr>
            <w:r w:rsidRPr="007C50D0">
              <w:rPr>
                <w:b/>
                <w:sz w:val="24"/>
                <w:szCs w:val="24"/>
              </w:rPr>
              <w:t>Государств</w:t>
            </w:r>
            <w:proofErr w:type="gramStart"/>
            <w:r w:rsidRPr="007C50D0">
              <w:rPr>
                <w:b/>
                <w:sz w:val="24"/>
                <w:szCs w:val="24"/>
              </w:rPr>
              <w:t>.</w:t>
            </w:r>
            <w:proofErr w:type="gramEnd"/>
            <w:r w:rsidRPr="007C50D0">
              <w:rPr>
                <w:b/>
                <w:sz w:val="24"/>
                <w:szCs w:val="24"/>
              </w:rPr>
              <w:t xml:space="preserve"> </w:t>
            </w:r>
            <w:proofErr w:type="gramStart"/>
            <w:r w:rsidRPr="007C50D0">
              <w:rPr>
                <w:b/>
                <w:sz w:val="24"/>
                <w:szCs w:val="24"/>
              </w:rPr>
              <w:t>н</w:t>
            </w:r>
            <w:proofErr w:type="gramEnd"/>
            <w:r w:rsidRPr="007C50D0">
              <w:rPr>
                <w:b/>
                <w:sz w:val="24"/>
                <w:szCs w:val="24"/>
              </w:rPr>
              <w:t>адзор</w:t>
            </w:r>
          </w:p>
          <w:p w:rsidR="007C50D0" w:rsidRPr="007C50D0" w:rsidRDefault="007C50D0" w:rsidP="008619A6">
            <w:pPr>
              <w:contextualSpacing/>
              <w:jc w:val="center"/>
              <w:rPr>
                <w:b/>
                <w:sz w:val="22"/>
                <w:szCs w:val="22"/>
              </w:rPr>
            </w:pPr>
            <w:r w:rsidRPr="007C50D0">
              <w:rPr>
                <w:b/>
                <w:sz w:val="22"/>
                <w:szCs w:val="22"/>
              </w:rPr>
              <w:t>2017 г.</w:t>
            </w:r>
          </w:p>
        </w:tc>
        <w:tc>
          <w:tcPr>
            <w:tcW w:w="1275" w:type="dxa"/>
            <w:tcBorders>
              <w:top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6143</w:t>
            </w:r>
          </w:p>
        </w:tc>
        <w:tc>
          <w:tcPr>
            <w:tcW w:w="720"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3,2</w:t>
            </w:r>
          </w:p>
        </w:tc>
        <w:tc>
          <w:tcPr>
            <w:tcW w:w="1265"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4071</w:t>
            </w:r>
          </w:p>
        </w:tc>
        <w:tc>
          <w:tcPr>
            <w:tcW w:w="742"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66,3</w:t>
            </w:r>
          </w:p>
        </w:tc>
        <w:tc>
          <w:tcPr>
            <w:tcW w:w="1639" w:type="dxa"/>
            <w:tcBorders>
              <w:top w:val="single" w:sz="4" w:space="0" w:color="auto"/>
              <w:left w:val="single" w:sz="4" w:space="0" w:color="auto"/>
              <w:bottom w:val="dotted" w:sz="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1241</w:t>
            </w:r>
          </w:p>
        </w:tc>
        <w:tc>
          <w:tcPr>
            <w:tcW w:w="879" w:type="dxa"/>
            <w:tcBorders>
              <w:top w:val="single" w:sz="4" w:space="0" w:color="auto"/>
              <w:left w:val="single" w:sz="4" w:space="0" w:color="auto"/>
              <w:bottom w:val="dotted"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20,2</w:t>
            </w:r>
          </w:p>
        </w:tc>
      </w:tr>
      <w:tr w:rsidR="007C50D0" w:rsidRPr="007C50D0" w:rsidTr="00A24002">
        <w:trPr>
          <w:trHeight w:val="62"/>
        </w:trPr>
        <w:tc>
          <w:tcPr>
            <w:tcW w:w="2694" w:type="dxa"/>
            <w:tcBorders>
              <w:top w:val="dotted" w:sz="4" w:space="0" w:color="auto"/>
              <w:bottom w:val="thickThinLargeGap" w:sz="24" w:space="0" w:color="auto"/>
            </w:tcBorders>
            <w:shd w:val="clear" w:color="auto" w:fill="FFFFFF"/>
            <w:vAlign w:val="center"/>
          </w:tcPr>
          <w:p w:rsidR="007C50D0" w:rsidRPr="007C50D0" w:rsidRDefault="007C50D0" w:rsidP="008619A6">
            <w:pPr>
              <w:contextualSpacing/>
              <w:jc w:val="center"/>
              <w:rPr>
                <w:sz w:val="22"/>
                <w:szCs w:val="22"/>
              </w:rPr>
            </w:pPr>
            <w:r w:rsidRPr="007C50D0">
              <w:rPr>
                <w:sz w:val="22"/>
                <w:szCs w:val="22"/>
              </w:rPr>
              <w:t>2016  г.</w:t>
            </w:r>
          </w:p>
        </w:tc>
        <w:tc>
          <w:tcPr>
            <w:tcW w:w="1275" w:type="dxa"/>
            <w:tcBorders>
              <w:top w:val="dotted"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5980</w:t>
            </w:r>
          </w:p>
        </w:tc>
        <w:tc>
          <w:tcPr>
            <w:tcW w:w="720" w:type="dxa"/>
            <w:tcBorders>
              <w:top w:val="dotted"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3,4</w:t>
            </w:r>
          </w:p>
        </w:tc>
        <w:tc>
          <w:tcPr>
            <w:tcW w:w="1265" w:type="dxa"/>
            <w:tcBorders>
              <w:top w:val="dotted"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4471</w:t>
            </w:r>
          </w:p>
        </w:tc>
        <w:tc>
          <w:tcPr>
            <w:tcW w:w="742" w:type="dxa"/>
            <w:tcBorders>
              <w:top w:val="dotted"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74,8</w:t>
            </w:r>
          </w:p>
        </w:tc>
        <w:tc>
          <w:tcPr>
            <w:tcW w:w="1639" w:type="dxa"/>
            <w:tcBorders>
              <w:top w:val="dotted" w:sz="4" w:space="0" w:color="auto"/>
              <w:left w:val="single" w:sz="4" w:space="0" w:color="auto"/>
              <w:bottom w:val="thickThinLargeGap" w:sz="24" w:space="0" w:color="auto"/>
              <w:right w:val="single" w:sz="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914</w:t>
            </w:r>
          </w:p>
        </w:tc>
        <w:tc>
          <w:tcPr>
            <w:tcW w:w="879" w:type="dxa"/>
            <w:tcBorders>
              <w:top w:val="dotted" w:sz="4" w:space="0" w:color="auto"/>
              <w:left w:val="single" w:sz="4" w:space="0" w:color="auto"/>
              <w:bottom w:val="thickThinLargeGap" w:sz="24" w:space="0" w:color="auto"/>
            </w:tcBorders>
            <w:shd w:val="clear" w:color="auto" w:fill="FFFFFF"/>
            <w:vAlign w:val="center"/>
          </w:tcPr>
          <w:p w:rsidR="007C50D0" w:rsidRPr="007C50D0" w:rsidRDefault="007C50D0" w:rsidP="008619A6">
            <w:pPr>
              <w:contextualSpacing/>
              <w:jc w:val="center"/>
              <w:rPr>
                <w:b/>
                <w:i/>
                <w:sz w:val="22"/>
                <w:szCs w:val="22"/>
              </w:rPr>
            </w:pPr>
            <w:r w:rsidRPr="007C50D0">
              <w:rPr>
                <w:b/>
                <w:i/>
                <w:sz w:val="22"/>
                <w:szCs w:val="22"/>
              </w:rPr>
              <w:t>15,3</w:t>
            </w:r>
          </w:p>
        </w:tc>
      </w:tr>
    </w:tbl>
    <w:p w:rsidR="007C50D0" w:rsidRPr="007C50D0" w:rsidRDefault="007C50D0" w:rsidP="008619A6">
      <w:pPr>
        <w:contextualSpacing/>
        <w:jc w:val="both"/>
        <w:rPr>
          <w:b/>
          <w:sz w:val="28"/>
          <w:szCs w:val="28"/>
          <w:highlight w:val="yellow"/>
        </w:rPr>
      </w:pPr>
    </w:p>
    <w:p w:rsidR="007C50D0" w:rsidRPr="007C50D0" w:rsidRDefault="007C50D0" w:rsidP="003169C4">
      <w:pPr>
        <w:contextualSpacing/>
        <w:rPr>
          <w:b/>
          <w:sz w:val="28"/>
          <w:szCs w:val="28"/>
        </w:rPr>
      </w:pPr>
      <w:r w:rsidRPr="007C50D0">
        <w:rPr>
          <w:b/>
          <w:sz w:val="28"/>
          <w:szCs w:val="28"/>
        </w:rPr>
        <w:lastRenderedPageBreak/>
        <w:t>4. Анализ состояния судимости в Республике Татарстан</w:t>
      </w:r>
    </w:p>
    <w:p w:rsidR="007C50D0" w:rsidRPr="007C50D0" w:rsidRDefault="007C50D0" w:rsidP="008619A6">
      <w:pPr>
        <w:ind w:firstLine="680"/>
        <w:contextualSpacing/>
        <w:jc w:val="both"/>
        <w:rPr>
          <w:sz w:val="28"/>
          <w:szCs w:val="28"/>
        </w:rPr>
      </w:pPr>
      <w:r w:rsidRPr="007C50D0">
        <w:rPr>
          <w:sz w:val="28"/>
          <w:szCs w:val="28"/>
        </w:rPr>
        <w:t xml:space="preserve">В 2017 году число осужденных лиц составило 16492, что на 7,3% больше, чем в 2016 году. При этом в течение достаточно длительного периода сохраняется тенденция уменьшение числа лиц, в отношении которых судами вынесены и вступили в законную силу обвинительные приговоры. </w:t>
      </w:r>
    </w:p>
    <w:p w:rsidR="007C50D0" w:rsidRDefault="007C50D0" w:rsidP="008619A6">
      <w:pPr>
        <w:tabs>
          <w:tab w:val="left" w:pos="7250"/>
        </w:tabs>
        <w:contextualSpacing/>
        <w:jc w:val="right"/>
        <w:rPr>
          <w:sz w:val="24"/>
          <w:szCs w:val="24"/>
        </w:rPr>
      </w:pPr>
      <w:r w:rsidRPr="007C50D0">
        <w:rPr>
          <w:sz w:val="24"/>
          <w:szCs w:val="24"/>
        </w:rPr>
        <w:t xml:space="preserve">                                                                                                                        Диаграмма </w:t>
      </w:r>
      <w:r w:rsidR="00F8243A">
        <w:rPr>
          <w:sz w:val="24"/>
          <w:szCs w:val="24"/>
        </w:rPr>
        <w:t>25</w:t>
      </w:r>
    </w:p>
    <w:p w:rsidR="00B25202" w:rsidRPr="007C50D0" w:rsidRDefault="00B25202" w:rsidP="00B25202">
      <w:pPr>
        <w:tabs>
          <w:tab w:val="left" w:pos="7250"/>
        </w:tabs>
        <w:contextualSpacing/>
        <w:jc w:val="center"/>
        <w:rPr>
          <w:sz w:val="24"/>
          <w:szCs w:val="24"/>
        </w:rPr>
      </w:pPr>
      <w:r>
        <w:rPr>
          <w:noProof/>
        </w:rPr>
        <w:drawing>
          <wp:inline distT="0" distB="0" distL="0" distR="0" wp14:anchorId="3FAEA570" wp14:editId="65F2B2F0">
            <wp:extent cx="5008605" cy="2339546"/>
            <wp:effectExtent l="0" t="0" r="20955" b="2286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C50D0" w:rsidRPr="007C50D0" w:rsidRDefault="007C50D0" w:rsidP="008619A6">
      <w:pPr>
        <w:ind w:firstLine="680"/>
        <w:contextualSpacing/>
        <w:jc w:val="both"/>
        <w:rPr>
          <w:sz w:val="28"/>
          <w:szCs w:val="28"/>
        </w:rPr>
      </w:pPr>
      <w:r w:rsidRPr="007C50D0">
        <w:rPr>
          <w:sz w:val="28"/>
          <w:szCs w:val="28"/>
        </w:rPr>
        <w:t>Доля лиц, в отношении которых в 2017 году уголовные дела были прекращены, составила 22,3% от общего количества подсудимых (4811 лиц). Число лиц, в отношении которых дела были прекращены по не</w:t>
      </w:r>
      <w:r w:rsidR="003169C4">
        <w:rPr>
          <w:sz w:val="28"/>
          <w:szCs w:val="28"/>
        </w:rPr>
        <w:t xml:space="preserve"> </w:t>
      </w:r>
      <w:r w:rsidRPr="007C50D0">
        <w:rPr>
          <w:sz w:val="28"/>
          <w:szCs w:val="28"/>
        </w:rPr>
        <w:t>реабилитирующим основаниям, составило 4698. Чаще всего, в 84,2% случаев (в отношении 3954 человек), производство по делу прекращалось на основании примирения с потерпевшим.</w:t>
      </w:r>
    </w:p>
    <w:p w:rsidR="007C50D0" w:rsidRPr="007C50D0" w:rsidRDefault="007C50D0" w:rsidP="008619A6">
      <w:pPr>
        <w:ind w:firstLine="680"/>
        <w:contextualSpacing/>
        <w:jc w:val="both"/>
        <w:rPr>
          <w:sz w:val="28"/>
          <w:szCs w:val="28"/>
        </w:rPr>
      </w:pPr>
      <w:r w:rsidRPr="007C50D0">
        <w:rPr>
          <w:sz w:val="28"/>
          <w:szCs w:val="28"/>
        </w:rPr>
        <w:t xml:space="preserve">В отношении 219 лиц применены меры медицинского характера, что составляет 1,0% от общего числа подсудимых. </w:t>
      </w:r>
    </w:p>
    <w:p w:rsidR="007C50D0" w:rsidRPr="007C50D0" w:rsidRDefault="007C50D0" w:rsidP="008619A6">
      <w:pPr>
        <w:ind w:firstLine="680"/>
        <w:contextualSpacing/>
        <w:jc w:val="both"/>
        <w:rPr>
          <w:sz w:val="28"/>
          <w:szCs w:val="28"/>
        </w:rPr>
      </w:pPr>
      <w:r w:rsidRPr="007C50D0">
        <w:rPr>
          <w:sz w:val="28"/>
          <w:szCs w:val="28"/>
        </w:rPr>
        <w:t>Оправдано 54 лица, или 0,3% от общего числа подсудимых.</w:t>
      </w:r>
    </w:p>
    <w:p w:rsidR="007C50D0" w:rsidRPr="007C50D0" w:rsidRDefault="007C50D0" w:rsidP="008619A6">
      <w:pPr>
        <w:ind w:firstLine="680"/>
        <w:contextualSpacing/>
        <w:jc w:val="both"/>
        <w:rPr>
          <w:sz w:val="28"/>
          <w:szCs w:val="28"/>
        </w:rPr>
      </w:pPr>
      <w:r w:rsidRPr="007C50D0">
        <w:rPr>
          <w:sz w:val="28"/>
          <w:szCs w:val="28"/>
        </w:rPr>
        <w:t>Число лиц, привлеченных к уголовной ответственности, составило 76,4% от общего числа подсудимых. Из них за преступления небольшой тяжести в 2017 году осуждено 8544 лица, или 51,8% от общего числа осужденных, средней тяжести – 3928 лиц, или 23,8%, за тяжкие преступления – 3096 лиц, или 18,8%, за особо тяжкие – 924 лица, или 5,6%.</w:t>
      </w:r>
    </w:p>
    <w:p w:rsidR="007C50D0" w:rsidRDefault="007C50D0" w:rsidP="008619A6">
      <w:pPr>
        <w:contextualSpacing/>
        <w:jc w:val="right"/>
        <w:rPr>
          <w:sz w:val="24"/>
          <w:szCs w:val="24"/>
        </w:rPr>
      </w:pPr>
      <w:r w:rsidRPr="007C50D0">
        <w:rPr>
          <w:sz w:val="24"/>
          <w:szCs w:val="24"/>
        </w:rPr>
        <w:t xml:space="preserve">Диаграмма </w:t>
      </w:r>
      <w:r w:rsidR="00F8243A">
        <w:rPr>
          <w:sz w:val="24"/>
          <w:szCs w:val="24"/>
        </w:rPr>
        <w:t>26</w:t>
      </w:r>
    </w:p>
    <w:p w:rsidR="00B25202" w:rsidRPr="007C50D0" w:rsidRDefault="00B25202" w:rsidP="00B25202">
      <w:pPr>
        <w:contextualSpacing/>
        <w:jc w:val="center"/>
        <w:rPr>
          <w:sz w:val="24"/>
          <w:szCs w:val="24"/>
        </w:rPr>
      </w:pPr>
      <w:r>
        <w:rPr>
          <w:noProof/>
        </w:rPr>
        <w:drawing>
          <wp:inline distT="0" distB="0" distL="0" distR="0" wp14:anchorId="546F5085" wp14:editId="7C7D6F92">
            <wp:extent cx="5206313" cy="2339546"/>
            <wp:effectExtent l="0" t="0" r="13970" b="2286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C50D0" w:rsidRPr="007C50D0" w:rsidRDefault="007C50D0" w:rsidP="00091D3C">
      <w:pPr>
        <w:ind w:firstLine="709"/>
        <w:contextualSpacing/>
        <w:jc w:val="both"/>
        <w:rPr>
          <w:sz w:val="28"/>
          <w:szCs w:val="28"/>
        </w:rPr>
      </w:pPr>
    </w:p>
    <w:p w:rsidR="007C50D0" w:rsidRPr="007C50D0" w:rsidRDefault="007C50D0" w:rsidP="008619A6">
      <w:pPr>
        <w:ind w:firstLine="680"/>
        <w:contextualSpacing/>
        <w:jc w:val="both"/>
        <w:rPr>
          <w:sz w:val="28"/>
          <w:szCs w:val="28"/>
        </w:rPr>
      </w:pPr>
      <w:r w:rsidRPr="007C50D0">
        <w:rPr>
          <w:sz w:val="28"/>
          <w:szCs w:val="28"/>
        </w:rPr>
        <w:t>В соответствии со статистическими данными, представленными судами общей юрисдикции, в 2017 году наибольшее количество лиц осуждено по следующим статьям Уголовного кодекса Российской Федерации:</w:t>
      </w:r>
    </w:p>
    <w:p w:rsidR="007C50D0" w:rsidRPr="00B25202" w:rsidRDefault="007C50D0" w:rsidP="00335DC8">
      <w:pPr>
        <w:pStyle w:val="ab"/>
        <w:numPr>
          <w:ilvl w:val="0"/>
          <w:numId w:val="20"/>
        </w:numPr>
        <w:ind w:left="567" w:hanging="283"/>
        <w:jc w:val="both"/>
        <w:rPr>
          <w:sz w:val="28"/>
          <w:szCs w:val="28"/>
        </w:rPr>
      </w:pPr>
      <w:r w:rsidRPr="00B25202">
        <w:rPr>
          <w:sz w:val="28"/>
          <w:szCs w:val="28"/>
        </w:rPr>
        <w:t>кража (статьи 158, 158.1 УК РФ) – 4118 лиц (24,9%);</w:t>
      </w:r>
    </w:p>
    <w:p w:rsidR="007C50D0" w:rsidRPr="00B25202" w:rsidRDefault="007C50D0" w:rsidP="00335DC8">
      <w:pPr>
        <w:pStyle w:val="ab"/>
        <w:numPr>
          <w:ilvl w:val="0"/>
          <w:numId w:val="20"/>
        </w:numPr>
        <w:ind w:left="567" w:hanging="283"/>
        <w:jc w:val="both"/>
        <w:rPr>
          <w:sz w:val="28"/>
          <w:szCs w:val="28"/>
        </w:rPr>
      </w:pPr>
      <w:r w:rsidRPr="00B25202">
        <w:rPr>
          <w:sz w:val="28"/>
          <w:szCs w:val="28"/>
        </w:rPr>
        <w:t>незаконное приобретение, хранение, перевозка, изготовление, переработка наркотических средств, психотропных веществ или их аналогов без цели сбыта (статья 228 УК РФ) – 1463 лица (8,9%);</w:t>
      </w:r>
    </w:p>
    <w:p w:rsidR="007C50D0" w:rsidRPr="00B25202" w:rsidRDefault="007C50D0" w:rsidP="00335DC8">
      <w:pPr>
        <w:pStyle w:val="ab"/>
        <w:numPr>
          <w:ilvl w:val="0"/>
          <w:numId w:val="20"/>
        </w:numPr>
        <w:ind w:left="567" w:hanging="283"/>
        <w:jc w:val="both"/>
        <w:rPr>
          <w:sz w:val="28"/>
          <w:szCs w:val="28"/>
        </w:rPr>
      </w:pPr>
      <w:r w:rsidRPr="00B25202">
        <w:rPr>
          <w:sz w:val="28"/>
          <w:szCs w:val="28"/>
        </w:rPr>
        <w:t>нарушение правил дорожного движения лицом, подвергнутым административному наказанию (статья 264.1 УК РФ), – 1375 лиц (8,3%);</w:t>
      </w:r>
    </w:p>
    <w:p w:rsidR="007C50D0" w:rsidRPr="00B25202" w:rsidRDefault="007C50D0" w:rsidP="00335DC8">
      <w:pPr>
        <w:pStyle w:val="ab"/>
        <w:numPr>
          <w:ilvl w:val="0"/>
          <w:numId w:val="20"/>
        </w:numPr>
        <w:ind w:left="567" w:hanging="283"/>
        <w:jc w:val="both"/>
        <w:rPr>
          <w:sz w:val="28"/>
          <w:szCs w:val="28"/>
        </w:rPr>
      </w:pPr>
      <w:r w:rsidRPr="00B25202">
        <w:rPr>
          <w:sz w:val="28"/>
          <w:szCs w:val="28"/>
        </w:rPr>
        <w:t>грабеж (статья 161 УК РФ) – 805 лиц (4,9%);</w:t>
      </w:r>
    </w:p>
    <w:p w:rsidR="007C50D0" w:rsidRPr="00B25202" w:rsidRDefault="007C50D0" w:rsidP="00335DC8">
      <w:pPr>
        <w:pStyle w:val="ab"/>
        <w:numPr>
          <w:ilvl w:val="0"/>
          <w:numId w:val="20"/>
        </w:numPr>
        <w:ind w:left="567" w:hanging="283"/>
        <w:jc w:val="both"/>
        <w:rPr>
          <w:sz w:val="28"/>
          <w:szCs w:val="28"/>
        </w:rPr>
      </w:pPr>
      <w:r w:rsidRPr="00B25202">
        <w:rPr>
          <w:sz w:val="28"/>
          <w:szCs w:val="28"/>
        </w:rPr>
        <w:t>мошенничество (статьи159-159.6 УК РФ) – 804 лица (4,9%).</w:t>
      </w:r>
    </w:p>
    <w:p w:rsidR="007C50D0" w:rsidRPr="007C50D0" w:rsidRDefault="007C50D0" w:rsidP="008619A6">
      <w:pPr>
        <w:ind w:firstLine="680"/>
        <w:contextualSpacing/>
        <w:jc w:val="both"/>
        <w:rPr>
          <w:sz w:val="28"/>
          <w:szCs w:val="28"/>
        </w:rPr>
      </w:pPr>
      <w:r w:rsidRPr="007C50D0">
        <w:rPr>
          <w:sz w:val="28"/>
          <w:szCs w:val="28"/>
        </w:rPr>
        <w:t>По сравнению с 2016 годом увеличилось число осужденных по следующим статьям УК РФ:</w:t>
      </w:r>
    </w:p>
    <w:p w:rsidR="007C50D0" w:rsidRPr="00B25202" w:rsidRDefault="007C50D0" w:rsidP="00335DC8">
      <w:pPr>
        <w:pStyle w:val="ab"/>
        <w:numPr>
          <w:ilvl w:val="0"/>
          <w:numId w:val="21"/>
        </w:numPr>
        <w:ind w:left="567" w:hanging="283"/>
        <w:jc w:val="both"/>
        <w:rPr>
          <w:sz w:val="28"/>
          <w:szCs w:val="28"/>
        </w:rPr>
      </w:pPr>
      <w:r w:rsidRPr="00B25202">
        <w:rPr>
          <w:sz w:val="28"/>
          <w:szCs w:val="28"/>
        </w:rPr>
        <w:t>157 — «Злостное уклонение от уплаты средств на содержание детей и родителей» — на 24,4%;</w:t>
      </w:r>
    </w:p>
    <w:p w:rsidR="007C50D0" w:rsidRPr="00B25202" w:rsidRDefault="007C50D0" w:rsidP="00335DC8">
      <w:pPr>
        <w:pStyle w:val="ab"/>
        <w:numPr>
          <w:ilvl w:val="0"/>
          <w:numId w:val="21"/>
        </w:numPr>
        <w:ind w:left="567" w:hanging="283"/>
        <w:jc w:val="both"/>
        <w:rPr>
          <w:sz w:val="28"/>
          <w:szCs w:val="28"/>
        </w:rPr>
      </w:pPr>
      <w:r w:rsidRPr="00B25202">
        <w:rPr>
          <w:sz w:val="28"/>
          <w:szCs w:val="28"/>
        </w:rPr>
        <w:t>159-159.6 — «Мошенничество — на 19,5%;</w:t>
      </w:r>
    </w:p>
    <w:p w:rsidR="007C50D0" w:rsidRPr="00B25202" w:rsidRDefault="007C50D0" w:rsidP="00335DC8">
      <w:pPr>
        <w:pStyle w:val="ab"/>
        <w:numPr>
          <w:ilvl w:val="0"/>
          <w:numId w:val="21"/>
        </w:numPr>
        <w:ind w:left="567" w:hanging="283"/>
        <w:jc w:val="both"/>
        <w:rPr>
          <w:sz w:val="28"/>
          <w:szCs w:val="28"/>
        </w:rPr>
      </w:pPr>
      <w:r w:rsidRPr="00B25202">
        <w:rPr>
          <w:sz w:val="28"/>
          <w:szCs w:val="28"/>
        </w:rPr>
        <w:t>264.1 — «Нарушение правил дорожного движения лицом, подвергнутым административному наказанию» — на 10,5%;</w:t>
      </w:r>
    </w:p>
    <w:p w:rsidR="007C50D0" w:rsidRPr="00B25202" w:rsidRDefault="007C50D0" w:rsidP="00335DC8">
      <w:pPr>
        <w:pStyle w:val="ab"/>
        <w:numPr>
          <w:ilvl w:val="0"/>
          <w:numId w:val="21"/>
        </w:numPr>
        <w:ind w:left="567" w:hanging="283"/>
        <w:jc w:val="both"/>
        <w:rPr>
          <w:sz w:val="28"/>
          <w:szCs w:val="28"/>
        </w:rPr>
      </w:pPr>
      <w:r w:rsidRPr="00B25202">
        <w:rPr>
          <w:sz w:val="28"/>
          <w:szCs w:val="28"/>
        </w:rPr>
        <w:t>111 — «Умышленное причинение тяжкого вреда здоровью» — на 10%.</w:t>
      </w:r>
    </w:p>
    <w:p w:rsidR="007C50D0" w:rsidRPr="00B25202" w:rsidRDefault="007C50D0" w:rsidP="00335DC8">
      <w:pPr>
        <w:pStyle w:val="ab"/>
        <w:numPr>
          <w:ilvl w:val="0"/>
          <w:numId w:val="21"/>
        </w:numPr>
        <w:ind w:left="567" w:hanging="283"/>
        <w:jc w:val="both"/>
        <w:rPr>
          <w:sz w:val="28"/>
          <w:szCs w:val="28"/>
        </w:rPr>
      </w:pPr>
      <w:r w:rsidRPr="00B25202">
        <w:rPr>
          <w:sz w:val="28"/>
          <w:szCs w:val="28"/>
        </w:rPr>
        <w:t>Вместе с этим в 2017 году сократилось количество осужденных по следующим статьям УК РФ:</w:t>
      </w:r>
    </w:p>
    <w:p w:rsidR="007C50D0" w:rsidRPr="00B25202" w:rsidRDefault="007C50D0" w:rsidP="00335DC8">
      <w:pPr>
        <w:pStyle w:val="ab"/>
        <w:numPr>
          <w:ilvl w:val="0"/>
          <w:numId w:val="21"/>
        </w:numPr>
        <w:ind w:left="567" w:hanging="283"/>
        <w:jc w:val="both"/>
        <w:rPr>
          <w:sz w:val="28"/>
          <w:szCs w:val="28"/>
        </w:rPr>
      </w:pPr>
      <w:r w:rsidRPr="00B25202">
        <w:rPr>
          <w:sz w:val="28"/>
          <w:szCs w:val="28"/>
        </w:rPr>
        <w:t>116 — «Побои» — на 83%;</w:t>
      </w:r>
    </w:p>
    <w:p w:rsidR="007C50D0" w:rsidRPr="00B25202" w:rsidRDefault="007C50D0" w:rsidP="00335DC8">
      <w:pPr>
        <w:pStyle w:val="ab"/>
        <w:numPr>
          <w:ilvl w:val="0"/>
          <w:numId w:val="21"/>
        </w:numPr>
        <w:ind w:left="567" w:hanging="283"/>
        <w:jc w:val="both"/>
        <w:rPr>
          <w:sz w:val="28"/>
          <w:szCs w:val="28"/>
        </w:rPr>
      </w:pPr>
      <w:r w:rsidRPr="00B25202">
        <w:rPr>
          <w:sz w:val="28"/>
          <w:szCs w:val="28"/>
        </w:rPr>
        <w:t>158 — «Кража» — на 38%;</w:t>
      </w:r>
    </w:p>
    <w:p w:rsidR="007C50D0" w:rsidRPr="00B25202" w:rsidRDefault="007C50D0" w:rsidP="00335DC8">
      <w:pPr>
        <w:pStyle w:val="ab"/>
        <w:numPr>
          <w:ilvl w:val="0"/>
          <w:numId w:val="21"/>
        </w:numPr>
        <w:ind w:left="567" w:hanging="283"/>
        <w:jc w:val="both"/>
        <w:rPr>
          <w:sz w:val="28"/>
          <w:szCs w:val="28"/>
        </w:rPr>
      </w:pPr>
      <w:r w:rsidRPr="00B25202">
        <w:rPr>
          <w:sz w:val="28"/>
          <w:szCs w:val="28"/>
        </w:rPr>
        <w:t>319 — «Оскорбление представителя власти» — на 33%;</w:t>
      </w:r>
    </w:p>
    <w:p w:rsidR="007C50D0" w:rsidRPr="00B25202" w:rsidRDefault="007C50D0" w:rsidP="00335DC8">
      <w:pPr>
        <w:pStyle w:val="ab"/>
        <w:numPr>
          <w:ilvl w:val="0"/>
          <w:numId w:val="21"/>
        </w:numPr>
        <w:ind w:left="567" w:hanging="283"/>
        <w:jc w:val="both"/>
        <w:rPr>
          <w:sz w:val="28"/>
          <w:szCs w:val="28"/>
        </w:rPr>
      </w:pPr>
      <w:r w:rsidRPr="00B25202">
        <w:rPr>
          <w:sz w:val="28"/>
          <w:szCs w:val="28"/>
        </w:rPr>
        <w:t>228 — «Незаконное приобретение, хранение, перевозка, изготовление, переработка наркотических средств, психотропных веществ или их аналогов без цели сбыта» — на 7,5%.</w:t>
      </w:r>
    </w:p>
    <w:p w:rsidR="007C50D0" w:rsidRPr="007C50D0" w:rsidRDefault="007C50D0" w:rsidP="008619A6">
      <w:pPr>
        <w:ind w:firstLine="680"/>
        <w:contextualSpacing/>
        <w:jc w:val="both"/>
        <w:rPr>
          <w:sz w:val="28"/>
          <w:szCs w:val="28"/>
          <w:u w:val="single"/>
        </w:rPr>
      </w:pPr>
      <w:r w:rsidRPr="007C50D0">
        <w:rPr>
          <w:sz w:val="28"/>
          <w:szCs w:val="28"/>
          <w:u w:val="single"/>
        </w:rPr>
        <w:t>Мера наказания</w:t>
      </w:r>
    </w:p>
    <w:p w:rsidR="007C50D0" w:rsidRPr="007C50D0" w:rsidRDefault="007C50D0" w:rsidP="008619A6">
      <w:pPr>
        <w:ind w:firstLine="680"/>
        <w:contextualSpacing/>
        <w:jc w:val="both"/>
        <w:rPr>
          <w:sz w:val="28"/>
          <w:szCs w:val="28"/>
        </w:rPr>
      </w:pPr>
      <w:r w:rsidRPr="007C50D0">
        <w:rPr>
          <w:sz w:val="28"/>
          <w:szCs w:val="28"/>
        </w:rPr>
        <w:t>За рассматриваемый период (2013-2017 годы) происходило существенное увеличение числа осужденных к реальному лишению свободы на определенный срок. В 2017 году число осужденных увеличилось: с 3962 лиц в 2016 году до 4682 лиц в 2017 году, что составило 18,1%.</w:t>
      </w:r>
    </w:p>
    <w:p w:rsidR="007C50D0" w:rsidRPr="007C50D0" w:rsidRDefault="007C50D0" w:rsidP="008619A6">
      <w:pPr>
        <w:ind w:firstLine="680"/>
        <w:contextualSpacing/>
        <w:jc w:val="both"/>
        <w:rPr>
          <w:sz w:val="28"/>
          <w:szCs w:val="28"/>
        </w:rPr>
      </w:pPr>
      <w:r w:rsidRPr="007C50D0">
        <w:rPr>
          <w:sz w:val="28"/>
          <w:szCs w:val="28"/>
        </w:rPr>
        <w:t xml:space="preserve">Увеличилось на 21,7% число лиц, осужденных к исправительным работам. Указанный вид наказания назначен 1324 лицам. Для сравнения: в 2016 году исправительные работы были применены в отношении 1088 подсудимых. </w:t>
      </w:r>
    </w:p>
    <w:p w:rsidR="007C50D0" w:rsidRPr="007C50D0" w:rsidRDefault="007C50D0" w:rsidP="008619A6">
      <w:pPr>
        <w:ind w:firstLine="680"/>
        <w:contextualSpacing/>
        <w:jc w:val="both"/>
        <w:rPr>
          <w:sz w:val="28"/>
          <w:szCs w:val="28"/>
        </w:rPr>
      </w:pPr>
      <w:r w:rsidRPr="007C50D0">
        <w:rPr>
          <w:sz w:val="28"/>
          <w:szCs w:val="28"/>
        </w:rPr>
        <w:t>По отношению к 2016 году наблюдается также увеличение на 1,6% числа лиц, которым в качестве наказания было определено ограничение свободы, и на 4% – числа лиц, приговоренных к обязательным работам.</w:t>
      </w:r>
    </w:p>
    <w:p w:rsidR="007C50D0" w:rsidRPr="007C50D0" w:rsidRDefault="007C50D0" w:rsidP="008619A6">
      <w:pPr>
        <w:ind w:firstLine="680"/>
        <w:contextualSpacing/>
        <w:jc w:val="both"/>
        <w:rPr>
          <w:sz w:val="28"/>
          <w:szCs w:val="28"/>
        </w:rPr>
      </w:pPr>
      <w:r w:rsidRPr="007C50D0">
        <w:rPr>
          <w:sz w:val="28"/>
          <w:szCs w:val="28"/>
        </w:rPr>
        <w:t xml:space="preserve">Число лиц, которым назначена условная мера наказания, в 2017 году по сравнению с 2016 годом увеличилось на 19,3% и составило 5050 лиц. Однако по отношению к 2013 году применение данного вида наказания уменьшилось </w:t>
      </w:r>
      <w:r w:rsidRPr="007C50D0">
        <w:rPr>
          <w:sz w:val="28"/>
          <w:szCs w:val="28"/>
        </w:rPr>
        <w:lastRenderedPageBreak/>
        <w:t xml:space="preserve">на 4,3% (с 5282 лица, или 31,5% от числа осужденных в 2013 году до 5050 лиц, или 30,6% от числа осужденных в 2017 году). </w:t>
      </w:r>
    </w:p>
    <w:p w:rsidR="007C50D0" w:rsidRPr="007C50D0" w:rsidRDefault="007C50D0" w:rsidP="008619A6">
      <w:pPr>
        <w:ind w:firstLine="680"/>
        <w:contextualSpacing/>
        <w:jc w:val="both"/>
        <w:rPr>
          <w:sz w:val="28"/>
          <w:szCs w:val="28"/>
        </w:rPr>
      </w:pPr>
      <w:r w:rsidRPr="007C50D0">
        <w:rPr>
          <w:sz w:val="28"/>
          <w:szCs w:val="28"/>
        </w:rPr>
        <w:t>Одному осужденному назначено пожизненное лишение свободы в соответствии с санкцией статьи 105 УК РФ «Убийство».</w:t>
      </w:r>
    </w:p>
    <w:p w:rsidR="008016B3" w:rsidRDefault="008016B3" w:rsidP="008016B3">
      <w:pPr>
        <w:tabs>
          <w:tab w:val="left" w:pos="7501"/>
        </w:tabs>
        <w:ind w:firstLine="567"/>
        <w:jc w:val="both"/>
        <w:rPr>
          <w:sz w:val="28"/>
          <w:szCs w:val="28"/>
          <w:shd w:val="clear" w:color="auto" w:fill="FFFF00"/>
        </w:rPr>
      </w:pPr>
      <w:r>
        <w:rPr>
          <w:sz w:val="28"/>
          <w:szCs w:val="28"/>
        </w:rPr>
        <w:t>Данные, представленные в Таблице 36  и на Графике 18, наглядно демо</w:t>
      </w:r>
      <w:r>
        <w:rPr>
          <w:sz w:val="28"/>
          <w:szCs w:val="28"/>
        </w:rPr>
        <w:t>н</w:t>
      </w:r>
      <w:r>
        <w:rPr>
          <w:sz w:val="28"/>
          <w:szCs w:val="28"/>
        </w:rPr>
        <w:t>стрируют динамику изменения данного показателя.</w:t>
      </w:r>
    </w:p>
    <w:p w:rsidR="007C50D0" w:rsidRPr="007C50D0" w:rsidRDefault="007C50D0" w:rsidP="008619A6">
      <w:pPr>
        <w:contextualSpacing/>
        <w:rPr>
          <w:sz w:val="24"/>
          <w:szCs w:val="24"/>
        </w:rPr>
      </w:pPr>
      <w:r w:rsidRPr="007C50D0">
        <w:rPr>
          <w:sz w:val="24"/>
          <w:szCs w:val="24"/>
        </w:rPr>
        <w:t xml:space="preserve">                                                                                                                                      Таблица </w:t>
      </w:r>
      <w:r w:rsidR="00F8243A">
        <w:rPr>
          <w:sz w:val="24"/>
          <w:szCs w:val="24"/>
        </w:rPr>
        <w:t>4</w:t>
      </w:r>
      <w:r w:rsidR="00E45BEB">
        <w:rPr>
          <w:sz w:val="24"/>
          <w:szCs w:val="24"/>
        </w:rPr>
        <w:t>7</w:t>
      </w:r>
    </w:p>
    <w:tbl>
      <w:tblPr>
        <w:tblW w:w="9341" w:type="dxa"/>
        <w:jc w:val="center"/>
        <w:tblLook w:val="0000" w:firstRow="0" w:lastRow="0" w:firstColumn="0" w:lastColumn="0" w:noHBand="0" w:noVBand="0"/>
      </w:tblPr>
      <w:tblGrid>
        <w:gridCol w:w="4010"/>
        <w:gridCol w:w="992"/>
        <w:gridCol w:w="993"/>
        <w:gridCol w:w="1134"/>
        <w:gridCol w:w="1134"/>
        <w:gridCol w:w="1078"/>
      </w:tblGrid>
      <w:tr w:rsidR="007C50D0" w:rsidRPr="007C50D0" w:rsidTr="00091D3C">
        <w:trPr>
          <w:trHeight w:val="286"/>
          <w:jc w:val="center"/>
        </w:trPr>
        <w:tc>
          <w:tcPr>
            <w:tcW w:w="9341" w:type="dxa"/>
            <w:gridSpan w:val="6"/>
            <w:tcBorders>
              <w:top w:val="double" w:sz="4" w:space="0" w:color="auto"/>
              <w:left w:val="double" w:sz="4" w:space="0" w:color="auto"/>
              <w:bottom w:val="single" w:sz="8" w:space="0" w:color="auto"/>
              <w:right w:val="double" w:sz="4" w:space="0" w:color="auto"/>
            </w:tcBorders>
            <w:shd w:val="clear" w:color="auto" w:fill="auto"/>
            <w:vAlign w:val="center"/>
          </w:tcPr>
          <w:p w:rsidR="007C50D0" w:rsidRPr="007C50D0" w:rsidRDefault="007C50D0" w:rsidP="008619A6">
            <w:pPr>
              <w:contextualSpacing/>
              <w:jc w:val="center"/>
              <w:rPr>
                <w:b/>
                <w:bCs/>
                <w:sz w:val="24"/>
                <w:szCs w:val="24"/>
              </w:rPr>
            </w:pPr>
            <w:r w:rsidRPr="007C50D0">
              <w:rPr>
                <w:b/>
                <w:bCs/>
                <w:sz w:val="24"/>
                <w:szCs w:val="24"/>
              </w:rPr>
              <w:t>Меры наказания, примененные к осужденным</w:t>
            </w:r>
          </w:p>
        </w:tc>
      </w:tr>
      <w:tr w:rsidR="007C50D0" w:rsidRPr="007C50D0" w:rsidTr="00091D3C">
        <w:trPr>
          <w:trHeight w:val="185"/>
          <w:jc w:val="center"/>
        </w:trPr>
        <w:tc>
          <w:tcPr>
            <w:tcW w:w="4010" w:type="dxa"/>
            <w:tcBorders>
              <w:top w:val="nil"/>
              <w:left w:val="double" w:sz="4" w:space="0" w:color="auto"/>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p>
        </w:tc>
        <w:tc>
          <w:tcPr>
            <w:tcW w:w="992" w:type="dxa"/>
            <w:tcBorders>
              <w:top w:val="single" w:sz="8" w:space="0" w:color="auto"/>
              <w:left w:val="double" w:sz="4" w:space="0" w:color="auto"/>
              <w:bottom w:val="thickThinLargeGap" w:sz="24" w:space="0" w:color="auto"/>
              <w:right w:val="single" w:sz="8"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2013</w:t>
            </w:r>
          </w:p>
        </w:tc>
        <w:tc>
          <w:tcPr>
            <w:tcW w:w="993" w:type="dxa"/>
            <w:tcBorders>
              <w:top w:val="single" w:sz="8" w:space="0" w:color="auto"/>
              <w:left w:val="single" w:sz="8" w:space="0" w:color="auto"/>
              <w:bottom w:val="thickThinLargeGap" w:sz="24" w:space="0" w:color="auto"/>
              <w:right w:val="single" w:sz="8"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2014</w:t>
            </w:r>
          </w:p>
        </w:tc>
        <w:tc>
          <w:tcPr>
            <w:tcW w:w="1134" w:type="dxa"/>
            <w:tcBorders>
              <w:top w:val="single" w:sz="8" w:space="0" w:color="auto"/>
              <w:left w:val="single" w:sz="8" w:space="0" w:color="auto"/>
              <w:bottom w:val="thickThinLargeGap" w:sz="24" w:space="0" w:color="auto"/>
              <w:right w:val="single" w:sz="8"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2015</w:t>
            </w:r>
          </w:p>
        </w:tc>
        <w:tc>
          <w:tcPr>
            <w:tcW w:w="1134" w:type="dxa"/>
            <w:tcBorders>
              <w:top w:val="single" w:sz="8" w:space="0" w:color="auto"/>
              <w:left w:val="single" w:sz="8" w:space="0" w:color="auto"/>
              <w:bottom w:val="thickThinLargeGap" w:sz="24" w:space="0" w:color="auto"/>
              <w:right w:val="single" w:sz="8"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2016</w:t>
            </w:r>
          </w:p>
        </w:tc>
        <w:tc>
          <w:tcPr>
            <w:tcW w:w="1078" w:type="dxa"/>
            <w:tcBorders>
              <w:top w:val="single" w:sz="8" w:space="0" w:color="auto"/>
              <w:left w:val="single" w:sz="8" w:space="0" w:color="auto"/>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091D3C">
        <w:trPr>
          <w:trHeight w:val="163"/>
          <w:jc w:val="center"/>
        </w:trPr>
        <w:tc>
          <w:tcPr>
            <w:tcW w:w="4010" w:type="dxa"/>
            <w:tcBorders>
              <w:top w:val="thickThinLargeGap" w:sz="2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Cs/>
                <w:sz w:val="24"/>
                <w:szCs w:val="24"/>
              </w:rPr>
            </w:pPr>
            <w:r w:rsidRPr="007C50D0">
              <w:rPr>
                <w:bCs/>
                <w:sz w:val="24"/>
                <w:szCs w:val="24"/>
              </w:rPr>
              <w:t>Всего осуждено</w:t>
            </w:r>
          </w:p>
        </w:tc>
        <w:tc>
          <w:tcPr>
            <w:tcW w:w="992" w:type="dxa"/>
            <w:tcBorders>
              <w:top w:val="thickThinLargeGap" w:sz="24" w:space="0" w:color="auto"/>
              <w:left w:val="double" w:sz="4"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16601</w:t>
            </w:r>
          </w:p>
        </w:tc>
        <w:tc>
          <w:tcPr>
            <w:tcW w:w="993" w:type="dxa"/>
            <w:tcBorders>
              <w:top w:val="thickThinLargeGap" w:sz="2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15373</w:t>
            </w:r>
          </w:p>
        </w:tc>
        <w:tc>
          <w:tcPr>
            <w:tcW w:w="1134" w:type="dxa"/>
            <w:tcBorders>
              <w:top w:val="thickThinLargeGap" w:sz="2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16278</w:t>
            </w:r>
          </w:p>
        </w:tc>
        <w:tc>
          <w:tcPr>
            <w:tcW w:w="1134" w:type="dxa"/>
            <w:tcBorders>
              <w:top w:val="thickThinLargeGap" w:sz="2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15074</w:t>
            </w:r>
          </w:p>
        </w:tc>
        <w:tc>
          <w:tcPr>
            <w:tcW w:w="1078" w:type="dxa"/>
            <w:tcBorders>
              <w:top w:val="thickThinLargeGap" w:sz="24" w:space="0" w:color="auto"/>
              <w:left w:val="single" w:sz="8"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16492</w:t>
            </w:r>
          </w:p>
        </w:tc>
      </w:tr>
      <w:tr w:rsidR="007C50D0" w:rsidRPr="007C50D0" w:rsidTr="00091D3C">
        <w:trPr>
          <w:trHeight w:val="195"/>
          <w:jc w:val="center"/>
        </w:trPr>
        <w:tc>
          <w:tcPr>
            <w:tcW w:w="4010" w:type="dxa"/>
            <w:tcBorders>
              <w:top w:val="sing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bCs/>
                <w:sz w:val="24"/>
                <w:szCs w:val="24"/>
              </w:rPr>
              <w:t xml:space="preserve">к </w:t>
            </w:r>
            <w:r w:rsidRPr="007C50D0">
              <w:rPr>
                <w:sz w:val="24"/>
                <w:szCs w:val="24"/>
              </w:rPr>
              <w:t>пожизненному лишению свободы</w:t>
            </w:r>
          </w:p>
        </w:tc>
        <w:tc>
          <w:tcPr>
            <w:tcW w:w="992" w:type="dxa"/>
            <w:tcBorders>
              <w:top w:val="single" w:sz="4" w:space="0" w:color="auto"/>
              <w:left w:val="double" w:sz="4"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3</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3</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w:t>
            </w:r>
          </w:p>
        </w:tc>
        <w:tc>
          <w:tcPr>
            <w:tcW w:w="1078" w:type="dxa"/>
            <w:tcBorders>
              <w:top w:val="single" w:sz="4" w:space="0" w:color="auto"/>
              <w:left w:val="single" w:sz="8"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w:t>
            </w:r>
          </w:p>
        </w:tc>
      </w:tr>
      <w:tr w:rsidR="007C50D0" w:rsidRPr="007C50D0" w:rsidTr="00091D3C">
        <w:trPr>
          <w:trHeight w:val="441"/>
          <w:jc w:val="center"/>
        </w:trPr>
        <w:tc>
          <w:tcPr>
            <w:tcW w:w="4010" w:type="dxa"/>
            <w:tcBorders>
              <w:top w:val="sing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к лишению свободы на определенный срок</w:t>
            </w:r>
          </w:p>
        </w:tc>
        <w:tc>
          <w:tcPr>
            <w:tcW w:w="992" w:type="dxa"/>
            <w:tcBorders>
              <w:top w:val="single" w:sz="4" w:space="0" w:color="auto"/>
              <w:left w:val="double" w:sz="4"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4001</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3953</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4344</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3962</w:t>
            </w:r>
          </w:p>
        </w:tc>
        <w:tc>
          <w:tcPr>
            <w:tcW w:w="1078" w:type="dxa"/>
            <w:tcBorders>
              <w:top w:val="single" w:sz="4" w:space="0" w:color="auto"/>
              <w:left w:val="single" w:sz="8"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4682</w:t>
            </w:r>
          </w:p>
        </w:tc>
      </w:tr>
      <w:tr w:rsidR="007C50D0" w:rsidRPr="007C50D0" w:rsidTr="00091D3C">
        <w:trPr>
          <w:trHeight w:val="293"/>
          <w:jc w:val="center"/>
        </w:trPr>
        <w:tc>
          <w:tcPr>
            <w:tcW w:w="4010" w:type="dxa"/>
            <w:tcBorders>
              <w:top w:val="sing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условно с испытательным сроком</w:t>
            </w:r>
          </w:p>
        </w:tc>
        <w:tc>
          <w:tcPr>
            <w:tcW w:w="992" w:type="dxa"/>
            <w:tcBorders>
              <w:top w:val="single" w:sz="4" w:space="0" w:color="auto"/>
              <w:left w:val="double" w:sz="4"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5282</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4960</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4029</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4428</w:t>
            </w:r>
          </w:p>
        </w:tc>
        <w:tc>
          <w:tcPr>
            <w:tcW w:w="1078" w:type="dxa"/>
            <w:tcBorders>
              <w:top w:val="single" w:sz="4" w:space="0" w:color="auto"/>
              <w:left w:val="single" w:sz="8"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5050</w:t>
            </w:r>
          </w:p>
        </w:tc>
      </w:tr>
      <w:tr w:rsidR="007C50D0" w:rsidRPr="007C50D0" w:rsidTr="00091D3C">
        <w:trPr>
          <w:trHeight w:val="285"/>
          <w:jc w:val="center"/>
        </w:trPr>
        <w:tc>
          <w:tcPr>
            <w:tcW w:w="4010" w:type="dxa"/>
            <w:tcBorders>
              <w:top w:val="sing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исправительным работам</w:t>
            </w:r>
          </w:p>
        </w:tc>
        <w:tc>
          <w:tcPr>
            <w:tcW w:w="992" w:type="dxa"/>
            <w:tcBorders>
              <w:top w:val="single" w:sz="4" w:space="0" w:color="auto"/>
              <w:left w:val="double" w:sz="4"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1590</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1592</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1361</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1088</w:t>
            </w:r>
          </w:p>
        </w:tc>
        <w:tc>
          <w:tcPr>
            <w:tcW w:w="1078" w:type="dxa"/>
            <w:tcBorders>
              <w:top w:val="single" w:sz="4" w:space="0" w:color="auto"/>
              <w:left w:val="single" w:sz="8"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1324</w:t>
            </w:r>
          </w:p>
        </w:tc>
      </w:tr>
      <w:tr w:rsidR="007C50D0" w:rsidRPr="007C50D0" w:rsidTr="00091D3C">
        <w:trPr>
          <w:trHeight w:val="285"/>
          <w:jc w:val="center"/>
        </w:trPr>
        <w:tc>
          <w:tcPr>
            <w:tcW w:w="4010" w:type="dxa"/>
            <w:tcBorders>
              <w:top w:val="sing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штрафу</w:t>
            </w:r>
          </w:p>
        </w:tc>
        <w:tc>
          <w:tcPr>
            <w:tcW w:w="992" w:type="dxa"/>
            <w:tcBorders>
              <w:top w:val="single" w:sz="4" w:space="0" w:color="auto"/>
              <w:left w:val="double" w:sz="4"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3089</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2556</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2224</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1883</w:t>
            </w:r>
          </w:p>
        </w:tc>
        <w:tc>
          <w:tcPr>
            <w:tcW w:w="1078" w:type="dxa"/>
            <w:tcBorders>
              <w:top w:val="single" w:sz="4" w:space="0" w:color="auto"/>
              <w:left w:val="single" w:sz="8"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1889</w:t>
            </w:r>
          </w:p>
        </w:tc>
      </w:tr>
      <w:tr w:rsidR="007C50D0" w:rsidRPr="007C50D0" w:rsidTr="00091D3C">
        <w:trPr>
          <w:trHeight w:val="255"/>
          <w:jc w:val="center"/>
        </w:trPr>
        <w:tc>
          <w:tcPr>
            <w:tcW w:w="4010" w:type="dxa"/>
            <w:tcBorders>
              <w:top w:val="sing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обязательным работам</w:t>
            </w:r>
          </w:p>
        </w:tc>
        <w:tc>
          <w:tcPr>
            <w:tcW w:w="992" w:type="dxa"/>
            <w:tcBorders>
              <w:top w:val="single" w:sz="4" w:space="0" w:color="auto"/>
              <w:left w:val="double" w:sz="4"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1934</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1694</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1677</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2719</w:t>
            </w:r>
          </w:p>
        </w:tc>
        <w:tc>
          <w:tcPr>
            <w:tcW w:w="1078" w:type="dxa"/>
            <w:tcBorders>
              <w:top w:val="single" w:sz="4" w:space="0" w:color="auto"/>
              <w:left w:val="single" w:sz="8"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2828</w:t>
            </w:r>
          </w:p>
        </w:tc>
      </w:tr>
      <w:tr w:rsidR="007C50D0" w:rsidRPr="007C50D0" w:rsidTr="00091D3C">
        <w:trPr>
          <w:trHeight w:val="255"/>
          <w:jc w:val="center"/>
        </w:trPr>
        <w:tc>
          <w:tcPr>
            <w:tcW w:w="4010" w:type="dxa"/>
            <w:tcBorders>
              <w:top w:val="sing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ограничению свободы</w:t>
            </w:r>
          </w:p>
        </w:tc>
        <w:tc>
          <w:tcPr>
            <w:tcW w:w="992" w:type="dxa"/>
            <w:tcBorders>
              <w:top w:val="single" w:sz="4" w:space="0" w:color="auto"/>
              <w:left w:val="double" w:sz="4"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624</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493</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453</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536</w:t>
            </w:r>
          </w:p>
        </w:tc>
        <w:tc>
          <w:tcPr>
            <w:tcW w:w="1078" w:type="dxa"/>
            <w:tcBorders>
              <w:top w:val="single" w:sz="4" w:space="0" w:color="auto"/>
              <w:left w:val="single" w:sz="8"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545</w:t>
            </w:r>
          </w:p>
        </w:tc>
      </w:tr>
      <w:tr w:rsidR="007C50D0" w:rsidRPr="007C50D0" w:rsidTr="00091D3C">
        <w:trPr>
          <w:trHeight w:val="243"/>
          <w:jc w:val="center"/>
        </w:trPr>
        <w:tc>
          <w:tcPr>
            <w:tcW w:w="4010" w:type="dxa"/>
            <w:tcBorders>
              <w:top w:val="sing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другим мерам наказания</w:t>
            </w:r>
          </w:p>
        </w:tc>
        <w:tc>
          <w:tcPr>
            <w:tcW w:w="992" w:type="dxa"/>
            <w:tcBorders>
              <w:top w:val="single" w:sz="4" w:space="0" w:color="auto"/>
              <w:left w:val="double" w:sz="4"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w:t>
            </w:r>
          </w:p>
        </w:tc>
        <w:tc>
          <w:tcPr>
            <w:tcW w:w="993"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3</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p>
        </w:tc>
        <w:tc>
          <w:tcPr>
            <w:tcW w:w="1078" w:type="dxa"/>
            <w:tcBorders>
              <w:top w:val="single" w:sz="4" w:space="0" w:color="auto"/>
              <w:left w:val="single" w:sz="8"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2</w:t>
            </w:r>
          </w:p>
        </w:tc>
      </w:tr>
      <w:tr w:rsidR="007C50D0" w:rsidRPr="007C50D0" w:rsidTr="00091D3C">
        <w:trPr>
          <w:trHeight w:val="273"/>
          <w:jc w:val="center"/>
        </w:trPr>
        <w:tc>
          <w:tcPr>
            <w:tcW w:w="4010" w:type="dxa"/>
            <w:tcBorders>
              <w:top w:val="single" w:sz="4" w:space="0" w:color="auto"/>
              <w:left w:val="double"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sz w:val="24"/>
                <w:szCs w:val="24"/>
              </w:rPr>
            </w:pPr>
            <w:r w:rsidRPr="007C50D0">
              <w:rPr>
                <w:sz w:val="24"/>
                <w:szCs w:val="24"/>
              </w:rPr>
              <w:t>освобождено от наказания по различным основаниям</w:t>
            </w:r>
          </w:p>
        </w:tc>
        <w:tc>
          <w:tcPr>
            <w:tcW w:w="992" w:type="dxa"/>
            <w:tcBorders>
              <w:top w:val="single" w:sz="4" w:space="0" w:color="auto"/>
              <w:left w:val="double" w:sz="4" w:space="0" w:color="auto"/>
              <w:bottom w:val="doub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77</w:t>
            </w:r>
          </w:p>
        </w:tc>
        <w:tc>
          <w:tcPr>
            <w:tcW w:w="993" w:type="dxa"/>
            <w:tcBorders>
              <w:top w:val="single" w:sz="4" w:space="0" w:color="auto"/>
              <w:left w:val="single" w:sz="8" w:space="0" w:color="auto"/>
              <w:bottom w:val="doub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119</w:t>
            </w:r>
          </w:p>
        </w:tc>
        <w:tc>
          <w:tcPr>
            <w:tcW w:w="1134" w:type="dxa"/>
            <w:tcBorders>
              <w:top w:val="single" w:sz="4" w:space="0" w:color="auto"/>
              <w:left w:val="single" w:sz="8" w:space="0" w:color="auto"/>
              <w:bottom w:val="doub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71</w:t>
            </w:r>
          </w:p>
        </w:tc>
        <w:tc>
          <w:tcPr>
            <w:tcW w:w="1134" w:type="dxa"/>
            <w:tcBorders>
              <w:top w:val="single" w:sz="4" w:space="0" w:color="auto"/>
              <w:left w:val="single" w:sz="8" w:space="0" w:color="auto"/>
              <w:bottom w:val="double" w:sz="4" w:space="0" w:color="auto"/>
              <w:right w:val="single" w:sz="8"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89</w:t>
            </w:r>
          </w:p>
        </w:tc>
        <w:tc>
          <w:tcPr>
            <w:tcW w:w="1078" w:type="dxa"/>
            <w:tcBorders>
              <w:top w:val="single" w:sz="4" w:space="0" w:color="auto"/>
              <w:left w:val="single" w:sz="8"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i/>
                <w:sz w:val="24"/>
                <w:szCs w:val="24"/>
              </w:rPr>
            </w:pPr>
            <w:r w:rsidRPr="007C50D0">
              <w:rPr>
                <w:i/>
                <w:sz w:val="24"/>
                <w:szCs w:val="24"/>
              </w:rPr>
              <w:t>171</w:t>
            </w:r>
          </w:p>
        </w:tc>
      </w:tr>
    </w:tbl>
    <w:p w:rsidR="007C50D0" w:rsidRPr="007C50D0" w:rsidRDefault="007C50D0" w:rsidP="008619A6">
      <w:pPr>
        <w:tabs>
          <w:tab w:val="left" w:pos="7501"/>
        </w:tabs>
        <w:contextualSpacing/>
        <w:jc w:val="right"/>
        <w:rPr>
          <w:sz w:val="24"/>
          <w:szCs w:val="24"/>
        </w:rPr>
      </w:pPr>
    </w:p>
    <w:p w:rsidR="007C50D0" w:rsidRDefault="007C50D0" w:rsidP="008619A6">
      <w:pPr>
        <w:tabs>
          <w:tab w:val="left" w:pos="7501"/>
        </w:tabs>
        <w:contextualSpacing/>
        <w:jc w:val="right"/>
        <w:rPr>
          <w:sz w:val="24"/>
          <w:szCs w:val="24"/>
        </w:rPr>
      </w:pPr>
      <w:r w:rsidRPr="007C50D0">
        <w:rPr>
          <w:sz w:val="24"/>
          <w:szCs w:val="24"/>
        </w:rPr>
        <w:t>График  1</w:t>
      </w:r>
      <w:r w:rsidR="00F8243A">
        <w:rPr>
          <w:sz w:val="24"/>
          <w:szCs w:val="24"/>
        </w:rPr>
        <w:t>7</w:t>
      </w:r>
    </w:p>
    <w:p w:rsidR="00BC4604" w:rsidRPr="007C50D0" w:rsidRDefault="00BC4604" w:rsidP="00BC4604">
      <w:pPr>
        <w:tabs>
          <w:tab w:val="left" w:pos="7501"/>
        </w:tabs>
        <w:ind w:firstLine="709"/>
        <w:contextualSpacing/>
        <w:jc w:val="center"/>
        <w:rPr>
          <w:sz w:val="24"/>
          <w:szCs w:val="24"/>
        </w:rPr>
      </w:pPr>
      <w:r>
        <w:rPr>
          <w:noProof/>
        </w:rPr>
        <w:drawing>
          <wp:inline distT="0" distB="0" distL="0" distR="0" wp14:anchorId="275DE8E6" wp14:editId="58BC7C9F">
            <wp:extent cx="5379308" cy="2784389"/>
            <wp:effectExtent l="0" t="0" r="12065" b="1651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C50D0" w:rsidRPr="007C50D0" w:rsidRDefault="007C50D0" w:rsidP="008619A6">
      <w:pPr>
        <w:ind w:firstLine="680"/>
        <w:contextualSpacing/>
        <w:jc w:val="both"/>
        <w:rPr>
          <w:sz w:val="28"/>
          <w:szCs w:val="28"/>
          <w:u w:val="single"/>
        </w:rPr>
      </w:pPr>
      <w:r w:rsidRPr="007C50D0">
        <w:rPr>
          <w:sz w:val="28"/>
          <w:szCs w:val="28"/>
          <w:u w:val="single"/>
        </w:rPr>
        <w:t>Характеристика подсудимых</w:t>
      </w:r>
    </w:p>
    <w:p w:rsidR="007C50D0" w:rsidRPr="007C50D0" w:rsidRDefault="007C50D0" w:rsidP="008619A6">
      <w:pPr>
        <w:ind w:firstLine="680"/>
        <w:contextualSpacing/>
        <w:jc w:val="both"/>
        <w:rPr>
          <w:sz w:val="28"/>
          <w:szCs w:val="28"/>
        </w:rPr>
      </w:pPr>
      <w:r w:rsidRPr="007C50D0">
        <w:rPr>
          <w:sz w:val="28"/>
          <w:szCs w:val="28"/>
        </w:rPr>
        <w:t xml:space="preserve">Более половины осужденных в 2017 году – 10874 лица, или 66,0%, не работали/или не имели иного дохода на момент совершения преступления (2016 год – 65,4%). Из них 10127 лиц (61,4% от общего числа осужденных) являлись трудоспособными лицами без определенных занятий. Доля таких лиц в общем количестве осужденных по сравнению с 2016 годом увеличилась на 15,2%. </w:t>
      </w:r>
    </w:p>
    <w:p w:rsidR="007C50D0" w:rsidRPr="007C50D0" w:rsidRDefault="007C50D0" w:rsidP="008619A6">
      <w:pPr>
        <w:ind w:firstLine="680"/>
        <w:contextualSpacing/>
        <w:jc w:val="both"/>
        <w:rPr>
          <w:sz w:val="28"/>
          <w:szCs w:val="28"/>
        </w:rPr>
      </w:pPr>
      <w:r w:rsidRPr="007C50D0">
        <w:rPr>
          <w:sz w:val="28"/>
          <w:szCs w:val="28"/>
        </w:rPr>
        <w:t xml:space="preserve">Также наблюдается увеличение количества лиц, совершивших преступления в состоянии опьянения. Их удельный вес составил 34,7% из </w:t>
      </w:r>
      <w:r w:rsidRPr="007C50D0">
        <w:rPr>
          <w:sz w:val="28"/>
          <w:szCs w:val="28"/>
        </w:rPr>
        <w:lastRenderedPageBreak/>
        <w:t>общего числа осужденных в 2017 году. В сравнении с 2016 годом данный показатель увеличился на 5,2% .</w:t>
      </w:r>
    </w:p>
    <w:p w:rsidR="007C50D0" w:rsidRPr="007C50D0" w:rsidRDefault="007C50D0" w:rsidP="008619A6">
      <w:pPr>
        <w:ind w:firstLine="680"/>
        <w:contextualSpacing/>
        <w:jc w:val="both"/>
        <w:rPr>
          <w:sz w:val="28"/>
          <w:szCs w:val="28"/>
        </w:rPr>
      </w:pPr>
      <w:r w:rsidRPr="007C50D0">
        <w:rPr>
          <w:sz w:val="28"/>
          <w:szCs w:val="28"/>
        </w:rPr>
        <w:t>Количество осужденных лиц, совершивших преступление, будучи ранее судимыми, выросло в сравнении с прошлым годом на 30,7%. Их удельный вес составил 34,3% от числа осужденных 2017 года.</w:t>
      </w:r>
    </w:p>
    <w:p w:rsidR="007C50D0" w:rsidRPr="007C50D0" w:rsidRDefault="007C50D0" w:rsidP="008619A6">
      <w:pPr>
        <w:ind w:firstLine="680"/>
        <w:contextualSpacing/>
        <w:jc w:val="both"/>
        <w:rPr>
          <w:sz w:val="28"/>
          <w:szCs w:val="28"/>
        </w:rPr>
      </w:pPr>
      <w:r w:rsidRPr="007C50D0">
        <w:rPr>
          <w:sz w:val="28"/>
          <w:szCs w:val="28"/>
        </w:rPr>
        <w:t>Вместе с этим следует отметить, что наибольшее количество осужденных составляют лица со средним общим образованием (38%) и средне-специальным образованием (38%).</w:t>
      </w:r>
    </w:p>
    <w:p w:rsidR="007C50D0" w:rsidRPr="007C50D0" w:rsidRDefault="007C50D0" w:rsidP="008619A6">
      <w:pPr>
        <w:ind w:firstLine="680"/>
        <w:contextualSpacing/>
        <w:jc w:val="both"/>
        <w:rPr>
          <w:sz w:val="28"/>
          <w:szCs w:val="28"/>
        </w:rPr>
      </w:pPr>
      <w:r w:rsidRPr="007C50D0">
        <w:rPr>
          <w:sz w:val="28"/>
          <w:szCs w:val="28"/>
        </w:rPr>
        <w:t>Количество лиц с высшим и неполным средним или начальным образованием по сравнению с 2016 годом значительно увеличилось. Так, число лиц с высшим образованием увеличилось на 12,4%, с неполным средним или начальным образованием – на 7,3%.</w:t>
      </w:r>
    </w:p>
    <w:p w:rsidR="007C50D0" w:rsidRPr="007C50D0" w:rsidRDefault="007C50D0" w:rsidP="008619A6">
      <w:pPr>
        <w:ind w:firstLine="680"/>
        <w:contextualSpacing/>
        <w:jc w:val="both"/>
        <w:rPr>
          <w:sz w:val="28"/>
          <w:szCs w:val="28"/>
        </w:rPr>
      </w:pPr>
      <w:r w:rsidRPr="007C50D0">
        <w:rPr>
          <w:sz w:val="28"/>
          <w:szCs w:val="28"/>
        </w:rPr>
        <w:t>Данные таблицы 32 отражают сложившиеся за последние пять лет тенденции:</w:t>
      </w:r>
    </w:p>
    <w:p w:rsidR="007C50D0" w:rsidRPr="007C50D0" w:rsidRDefault="007C50D0" w:rsidP="008619A6">
      <w:pPr>
        <w:ind w:right="118"/>
        <w:contextualSpacing/>
        <w:jc w:val="right"/>
        <w:rPr>
          <w:sz w:val="24"/>
          <w:szCs w:val="24"/>
        </w:rPr>
      </w:pPr>
      <w:r w:rsidRPr="007C50D0">
        <w:rPr>
          <w:sz w:val="24"/>
          <w:szCs w:val="24"/>
        </w:rPr>
        <w:t xml:space="preserve">                                                                                                                                   Таблица</w:t>
      </w:r>
      <w:r w:rsidRPr="007C50D0">
        <w:rPr>
          <w:sz w:val="24"/>
          <w:szCs w:val="24"/>
          <w:lang w:val="en-US"/>
        </w:rPr>
        <w:t xml:space="preserve"> </w:t>
      </w:r>
      <w:r w:rsidR="00F8243A">
        <w:rPr>
          <w:sz w:val="24"/>
          <w:szCs w:val="24"/>
        </w:rPr>
        <w:t>4</w:t>
      </w:r>
      <w:r w:rsidR="00E45BEB">
        <w:rPr>
          <w:sz w:val="24"/>
          <w:szCs w:val="24"/>
        </w:rPr>
        <w:t>8</w:t>
      </w:r>
    </w:p>
    <w:tbl>
      <w:tblPr>
        <w:tblW w:w="9072" w:type="dxa"/>
        <w:tblInd w:w="250" w:type="dxa"/>
        <w:shd w:val="clear" w:color="auto" w:fill="FFFFFF"/>
        <w:tblLayout w:type="fixed"/>
        <w:tblLook w:val="0000" w:firstRow="0" w:lastRow="0" w:firstColumn="0" w:lastColumn="0" w:noHBand="0" w:noVBand="0"/>
      </w:tblPr>
      <w:tblGrid>
        <w:gridCol w:w="4253"/>
        <w:gridCol w:w="992"/>
        <w:gridCol w:w="851"/>
        <w:gridCol w:w="850"/>
        <w:gridCol w:w="992"/>
        <w:gridCol w:w="1134"/>
      </w:tblGrid>
      <w:tr w:rsidR="007C50D0" w:rsidRPr="007C50D0" w:rsidTr="00091D3C">
        <w:trPr>
          <w:trHeight w:val="347"/>
        </w:trPr>
        <w:tc>
          <w:tcPr>
            <w:tcW w:w="9072" w:type="dxa"/>
            <w:gridSpan w:val="6"/>
            <w:tcBorders>
              <w:top w:val="double" w:sz="4"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b/>
                <w:bCs/>
                <w:sz w:val="24"/>
                <w:szCs w:val="24"/>
              </w:rPr>
            </w:pPr>
            <w:r w:rsidRPr="007C50D0">
              <w:rPr>
                <w:b/>
                <w:bCs/>
                <w:sz w:val="24"/>
                <w:szCs w:val="24"/>
              </w:rPr>
              <w:t>Характеристика осужденных</w:t>
            </w:r>
          </w:p>
        </w:tc>
      </w:tr>
      <w:tr w:rsidR="007C50D0" w:rsidRPr="007C50D0" w:rsidTr="00091D3C">
        <w:trPr>
          <w:trHeight w:val="293"/>
        </w:trPr>
        <w:tc>
          <w:tcPr>
            <w:tcW w:w="4253" w:type="dxa"/>
            <w:tcBorders>
              <w:top w:val="nil"/>
              <w:left w:val="double" w:sz="4" w:space="0" w:color="auto"/>
              <w:bottom w:val="thickThinLargeGap" w:sz="24" w:space="0" w:color="auto"/>
              <w:right w:val="double" w:sz="4" w:space="0" w:color="auto"/>
            </w:tcBorders>
            <w:shd w:val="clear" w:color="auto" w:fill="FFFFFF"/>
            <w:vAlign w:val="center"/>
          </w:tcPr>
          <w:p w:rsidR="007C50D0" w:rsidRPr="007C50D0" w:rsidRDefault="007C50D0" w:rsidP="008619A6">
            <w:pPr>
              <w:contextualSpacing/>
              <w:jc w:val="both"/>
              <w:rPr>
                <w:sz w:val="24"/>
                <w:szCs w:val="24"/>
              </w:rPr>
            </w:pPr>
          </w:p>
        </w:tc>
        <w:tc>
          <w:tcPr>
            <w:tcW w:w="992" w:type="dxa"/>
            <w:tcBorders>
              <w:top w:val="single" w:sz="8" w:space="0" w:color="auto"/>
              <w:left w:val="double" w:sz="4" w:space="0" w:color="auto"/>
              <w:bottom w:val="thickThinLargeGap" w:sz="24" w:space="0" w:color="auto"/>
              <w:right w:val="single" w:sz="8"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2013</w:t>
            </w:r>
          </w:p>
        </w:tc>
        <w:tc>
          <w:tcPr>
            <w:tcW w:w="851" w:type="dxa"/>
            <w:tcBorders>
              <w:top w:val="single" w:sz="8" w:space="0" w:color="auto"/>
              <w:left w:val="single" w:sz="8" w:space="0" w:color="auto"/>
              <w:bottom w:val="thickThinLargeGap" w:sz="24" w:space="0" w:color="auto"/>
              <w:right w:val="single" w:sz="8"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2014</w:t>
            </w:r>
          </w:p>
        </w:tc>
        <w:tc>
          <w:tcPr>
            <w:tcW w:w="850" w:type="dxa"/>
            <w:tcBorders>
              <w:top w:val="single" w:sz="8" w:space="0" w:color="auto"/>
              <w:left w:val="single" w:sz="8" w:space="0" w:color="auto"/>
              <w:bottom w:val="thickThinLargeGap" w:sz="24" w:space="0" w:color="auto"/>
              <w:right w:val="single" w:sz="8"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2015</w:t>
            </w:r>
          </w:p>
        </w:tc>
        <w:tc>
          <w:tcPr>
            <w:tcW w:w="992" w:type="dxa"/>
            <w:tcBorders>
              <w:top w:val="single" w:sz="8" w:space="0" w:color="auto"/>
              <w:left w:val="single" w:sz="8" w:space="0" w:color="auto"/>
              <w:bottom w:val="thickThinLargeGap" w:sz="24" w:space="0" w:color="auto"/>
              <w:right w:val="single" w:sz="8"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2016</w:t>
            </w:r>
          </w:p>
        </w:tc>
        <w:tc>
          <w:tcPr>
            <w:tcW w:w="1134" w:type="dxa"/>
            <w:tcBorders>
              <w:top w:val="single" w:sz="8" w:space="0" w:color="auto"/>
              <w:left w:val="single" w:sz="8" w:space="0" w:color="auto"/>
              <w:bottom w:val="thickThinLargeGap" w:sz="24" w:space="0" w:color="auto"/>
              <w:right w:val="double" w:sz="4" w:space="0" w:color="auto"/>
            </w:tcBorders>
            <w:shd w:val="clear" w:color="auto" w:fill="FFFFFF"/>
            <w:vAlign w:val="center"/>
          </w:tcPr>
          <w:p w:rsidR="007C50D0" w:rsidRPr="007C50D0" w:rsidRDefault="007C50D0" w:rsidP="008619A6">
            <w:pPr>
              <w:contextualSpacing/>
              <w:jc w:val="center"/>
              <w:rPr>
                <w:b/>
                <w:sz w:val="24"/>
                <w:szCs w:val="24"/>
              </w:rPr>
            </w:pPr>
            <w:r w:rsidRPr="007C50D0">
              <w:rPr>
                <w:b/>
                <w:sz w:val="24"/>
                <w:szCs w:val="24"/>
              </w:rPr>
              <w:t>2017</w:t>
            </w:r>
          </w:p>
        </w:tc>
      </w:tr>
      <w:tr w:rsidR="007C50D0" w:rsidRPr="007C50D0" w:rsidTr="00091D3C">
        <w:trPr>
          <w:trHeight w:val="360"/>
        </w:trPr>
        <w:tc>
          <w:tcPr>
            <w:tcW w:w="4253" w:type="dxa"/>
            <w:tcBorders>
              <w:top w:val="thickThinLargeGap" w:sz="24"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both"/>
              <w:rPr>
                <w:b/>
                <w:bCs/>
                <w:sz w:val="24"/>
                <w:szCs w:val="24"/>
              </w:rPr>
            </w:pPr>
            <w:r w:rsidRPr="007C50D0">
              <w:rPr>
                <w:b/>
                <w:bCs/>
                <w:sz w:val="24"/>
                <w:szCs w:val="24"/>
              </w:rPr>
              <w:t>Всего осуждено</w:t>
            </w:r>
          </w:p>
        </w:tc>
        <w:tc>
          <w:tcPr>
            <w:tcW w:w="992" w:type="dxa"/>
            <w:tcBorders>
              <w:top w:val="thickThinLargeGap" w:sz="24"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16601</w:t>
            </w:r>
          </w:p>
        </w:tc>
        <w:tc>
          <w:tcPr>
            <w:tcW w:w="851" w:type="dxa"/>
            <w:tcBorders>
              <w:top w:val="thickThinLargeGap" w:sz="24"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15373</w:t>
            </w:r>
          </w:p>
        </w:tc>
        <w:tc>
          <w:tcPr>
            <w:tcW w:w="850" w:type="dxa"/>
            <w:tcBorders>
              <w:top w:val="thickThinLargeGap" w:sz="24"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16278</w:t>
            </w:r>
          </w:p>
        </w:tc>
        <w:tc>
          <w:tcPr>
            <w:tcW w:w="992" w:type="dxa"/>
            <w:tcBorders>
              <w:top w:val="thickThinLargeGap" w:sz="24"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15074</w:t>
            </w:r>
          </w:p>
        </w:tc>
        <w:tc>
          <w:tcPr>
            <w:tcW w:w="1134" w:type="dxa"/>
            <w:tcBorders>
              <w:top w:val="thickThinLargeGap" w:sz="24"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16492</w:t>
            </w:r>
          </w:p>
        </w:tc>
      </w:tr>
      <w:tr w:rsidR="007C50D0" w:rsidRPr="007C50D0" w:rsidTr="00091D3C">
        <w:trPr>
          <w:trHeight w:val="291"/>
        </w:trPr>
        <w:tc>
          <w:tcPr>
            <w:tcW w:w="4253" w:type="dxa"/>
            <w:tcBorders>
              <w:top w:val="single" w:sz="8"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both"/>
              <w:rPr>
                <w:sz w:val="24"/>
                <w:szCs w:val="24"/>
              </w:rPr>
            </w:pPr>
            <w:r w:rsidRPr="007C50D0">
              <w:rPr>
                <w:sz w:val="24"/>
                <w:szCs w:val="24"/>
              </w:rPr>
              <w:t>Пол:                        Мужчин</w:t>
            </w:r>
          </w:p>
        </w:tc>
        <w:tc>
          <w:tcPr>
            <w:tcW w:w="992" w:type="dxa"/>
            <w:tcBorders>
              <w:top w:val="single" w:sz="8"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14343</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13456</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14328</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13294</w:t>
            </w:r>
          </w:p>
        </w:tc>
        <w:tc>
          <w:tcPr>
            <w:tcW w:w="1134" w:type="dxa"/>
            <w:tcBorders>
              <w:top w:val="single" w:sz="8"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14478</w:t>
            </w:r>
          </w:p>
        </w:tc>
      </w:tr>
      <w:tr w:rsidR="007C50D0" w:rsidRPr="007C50D0" w:rsidTr="00091D3C">
        <w:trPr>
          <w:trHeight w:val="345"/>
        </w:trPr>
        <w:tc>
          <w:tcPr>
            <w:tcW w:w="4253" w:type="dxa"/>
            <w:tcBorders>
              <w:top w:val="single" w:sz="8"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both"/>
              <w:rPr>
                <w:sz w:val="24"/>
                <w:szCs w:val="24"/>
              </w:rPr>
            </w:pPr>
            <w:r w:rsidRPr="007C50D0">
              <w:rPr>
                <w:sz w:val="24"/>
                <w:szCs w:val="24"/>
              </w:rPr>
              <w:t xml:space="preserve">                                Женщин</w:t>
            </w:r>
          </w:p>
        </w:tc>
        <w:tc>
          <w:tcPr>
            <w:tcW w:w="992" w:type="dxa"/>
            <w:tcBorders>
              <w:top w:val="single" w:sz="8"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2256</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1917</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1950</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1780</w:t>
            </w:r>
          </w:p>
        </w:tc>
        <w:tc>
          <w:tcPr>
            <w:tcW w:w="1134" w:type="dxa"/>
            <w:tcBorders>
              <w:top w:val="single" w:sz="8"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2014</w:t>
            </w:r>
          </w:p>
        </w:tc>
      </w:tr>
      <w:tr w:rsidR="007C50D0" w:rsidRPr="007C50D0" w:rsidTr="00091D3C">
        <w:trPr>
          <w:trHeight w:val="344"/>
        </w:trPr>
        <w:tc>
          <w:tcPr>
            <w:tcW w:w="4253" w:type="dxa"/>
            <w:tcBorders>
              <w:top w:val="single" w:sz="8"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both"/>
              <w:rPr>
                <w:sz w:val="24"/>
                <w:szCs w:val="24"/>
              </w:rPr>
            </w:pPr>
            <w:r w:rsidRPr="007C50D0">
              <w:rPr>
                <w:sz w:val="24"/>
                <w:szCs w:val="24"/>
              </w:rPr>
              <w:t>Возраст (лет):            14-29</w:t>
            </w:r>
          </w:p>
        </w:tc>
        <w:tc>
          <w:tcPr>
            <w:tcW w:w="992" w:type="dxa"/>
            <w:tcBorders>
              <w:top w:val="single" w:sz="8"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8255</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7252</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7400</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6446</w:t>
            </w:r>
          </w:p>
        </w:tc>
        <w:tc>
          <w:tcPr>
            <w:tcW w:w="1134" w:type="dxa"/>
            <w:tcBorders>
              <w:top w:val="single" w:sz="8"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6354</w:t>
            </w:r>
          </w:p>
        </w:tc>
      </w:tr>
      <w:tr w:rsidR="007C50D0" w:rsidRPr="007C50D0" w:rsidTr="00091D3C">
        <w:trPr>
          <w:trHeight w:val="285"/>
        </w:trPr>
        <w:tc>
          <w:tcPr>
            <w:tcW w:w="4253" w:type="dxa"/>
            <w:tcBorders>
              <w:top w:val="single" w:sz="8"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both"/>
              <w:rPr>
                <w:sz w:val="24"/>
                <w:szCs w:val="24"/>
              </w:rPr>
            </w:pPr>
            <w:r w:rsidRPr="007C50D0">
              <w:rPr>
                <w:sz w:val="24"/>
                <w:szCs w:val="24"/>
              </w:rPr>
              <w:t xml:space="preserve">                                   30-49</w:t>
            </w:r>
          </w:p>
        </w:tc>
        <w:tc>
          <w:tcPr>
            <w:tcW w:w="992" w:type="dxa"/>
            <w:tcBorders>
              <w:top w:val="single" w:sz="8"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6798</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6722</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7464</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7186</w:t>
            </w:r>
          </w:p>
        </w:tc>
        <w:tc>
          <w:tcPr>
            <w:tcW w:w="1134" w:type="dxa"/>
            <w:tcBorders>
              <w:top w:val="single" w:sz="8"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8410</w:t>
            </w:r>
          </w:p>
        </w:tc>
      </w:tr>
      <w:tr w:rsidR="007C50D0" w:rsidRPr="007C50D0" w:rsidTr="00091D3C">
        <w:trPr>
          <w:trHeight w:val="285"/>
        </w:trPr>
        <w:tc>
          <w:tcPr>
            <w:tcW w:w="4253" w:type="dxa"/>
            <w:tcBorders>
              <w:top w:val="single" w:sz="8"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both"/>
              <w:rPr>
                <w:sz w:val="24"/>
                <w:szCs w:val="24"/>
              </w:rPr>
            </w:pPr>
            <w:r w:rsidRPr="007C50D0">
              <w:rPr>
                <w:sz w:val="24"/>
                <w:szCs w:val="24"/>
              </w:rPr>
              <w:t xml:space="preserve">                                   50 и старше</w:t>
            </w:r>
          </w:p>
        </w:tc>
        <w:tc>
          <w:tcPr>
            <w:tcW w:w="992" w:type="dxa"/>
            <w:tcBorders>
              <w:top w:val="single" w:sz="8"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1548</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1399</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1414</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1442</w:t>
            </w:r>
          </w:p>
        </w:tc>
        <w:tc>
          <w:tcPr>
            <w:tcW w:w="1134" w:type="dxa"/>
            <w:tcBorders>
              <w:top w:val="single" w:sz="8"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1728</w:t>
            </w:r>
          </w:p>
        </w:tc>
      </w:tr>
      <w:tr w:rsidR="007C50D0" w:rsidRPr="007C50D0" w:rsidTr="00091D3C">
        <w:trPr>
          <w:trHeight w:val="285"/>
        </w:trPr>
        <w:tc>
          <w:tcPr>
            <w:tcW w:w="4253" w:type="dxa"/>
            <w:tcBorders>
              <w:top w:val="single" w:sz="8"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both"/>
              <w:rPr>
                <w:sz w:val="24"/>
                <w:szCs w:val="24"/>
              </w:rPr>
            </w:pPr>
            <w:r w:rsidRPr="007C50D0">
              <w:rPr>
                <w:sz w:val="24"/>
                <w:szCs w:val="24"/>
              </w:rPr>
              <w:t>Образование: высшее</w:t>
            </w:r>
          </w:p>
        </w:tc>
        <w:tc>
          <w:tcPr>
            <w:tcW w:w="992" w:type="dxa"/>
            <w:tcBorders>
              <w:top w:val="single" w:sz="8"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1842</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1705</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1468</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1427</w:t>
            </w:r>
          </w:p>
        </w:tc>
        <w:tc>
          <w:tcPr>
            <w:tcW w:w="1134" w:type="dxa"/>
            <w:tcBorders>
              <w:top w:val="single" w:sz="8"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1605</w:t>
            </w:r>
          </w:p>
        </w:tc>
      </w:tr>
      <w:tr w:rsidR="007C50D0" w:rsidRPr="007C50D0" w:rsidTr="00091D3C">
        <w:trPr>
          <w:trHeight w:val="285"/>
        </w:trPr>
        <w:tc>
          <w:tcPr>
            <w:tcW w:w="4253" w:type="dxa"/>
            <w:tcBorders>
              <w:top w:val="single" w:sz="8"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rPr>
                <w:sz w:val="24"/>
                <w:szCs w:val="24"/>
              </w:rPr>
            </w:pPr>
            <w:r w:rsidRPr="007C50D0">
              <w:rPr>
                <w:sz w:val="24"/>
                <w:szCs w:val="24"/>
              </w:rPr>
              <w:t xml:space="preserve">                       средне-специальное</w:t>
            </w:r>
          </w:p>
        </w:tc>
        <w:tc>
          <w:tcPr>
            <w:tcW w:w="992" w:type="dxa"/>
            <w:tcBorders>
              <w:top w:val="single" w:sz="8"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5570</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5243</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5842</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5560</w:t>
            </w:r>
          </w:p>
        </w:tc>
        <w:tc>
          <w:tcPr>
            <w:tcW w:w="1134" w:type="dxa"/>
            <w:tcBorders>
              <w:top w:val="single" w:sz="8"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6276</w:t>
            </w:r>
          </w:p>
        </w:tc>
      </w:tr>
      <w:tr w:rsidR="007C50D0" w:rsidRPr="007C50D0" w:rsidTr="00091D3C">
        <w:trPr>
          <w:trHeight w:val="285"/>
        </w:trPr>
        <w:tc>
          <w:tcPr>
            <w:tcW w:w="4253" w:type="dxa"/>
            <w:tcBorders>
              <w:top w:val="single" w:sz="8"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rPr>
                <w:sz w:val="24"/>
                <w:szCs w:val="24"/>
              </w:rPr>
            </w:pPr>
            <w:r w:rsidRPr="007C50D0">
              <w:rPr>
                <w:sz w:val="24"/>
                <w:szCs w:val="24"/>
              </w:rPr>
              <w:t xml:space="preserve">                       среднее общее</w:t>
            </w:r>
          </w:p>
        </w:tc>
        <w:tc>
          <w:tcPr>
            <w:tcW w:w="992" w:type="dxa"/>
            <w:tcBorders>
              <w:top w:val="single" w:sz="8"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6796</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6328</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7174</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6527</w:t>
            </w:r>
          </w:p>
        </w:tc>
        <w:tc>
          <w:tcPr>
            <w:tcW w:w="1134" w:type="dxa"/>
            <w:tcBorders>
              <w:top w:val="single" w:sz="8"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6937</w:t>
            </w:r>
          </w:p>
        </w:tc>
      </w:tr>
      <w:tr w:rsidR="007C50D0" w:rsidRPr="007C50D0" w:rsidTr="00091D3C">
        <w:trPr>
          <w:trHeight w:val="285"/>
        </w:trPr>
        <w:tc>
          <w:tcPr>
            <w:tcW w:w="4253" w:type="dxa"/>
            <w:tcBorders>
              <w:top w:val="single" w:sz="8"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rPr>
                <w:sz w:val="24"/>
                <w:szCs w:val="24"/>
              </w:rPr>
            </w:pPr>
            <w:r w:rsidRPr="007C50D0">
              <w:rPr>
                <w:sz w:val="24"/>
                <w:szCs w:val="24"/>
              </w:rPr>
              <w:t xml:space="preserve">                       неполное среднее,          </w:t>
            </w:r>
          </w:p>
          <w:p w:rsidR="007C50D0" w:rsidRPr="007C50D0" w:rsidRDefault="007C50D0" w:rsidP="008619A6">
            <w:pPr>
              <w:contextualSpacing/>
              <w:rPr>
                <w:sz w:val="24"/>
                <w:szCs w:val="24"/>
              </w:rPr>
            </w:pPr>
            <w:r w:rsidRPr="007C50D0">
              <w:rPr>
                <w:sz w:val="24"/>
                <w:szCs w:val="24"/>
              </w:rPr>
              <w:t xml:space="preserve">                       начальное</w:t>
            </w:r>
          </w:p>
        </w:tc>
        <w:tc>
          <w:tcPr>
            <w:tcW w:w="992" w:type="dxa"/>
            <w:tcBorders>
              <w:top w:val="single" w:sz="8"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2393</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2097</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1794</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1560</w:t>
            </w:r>
          </w:p>
        </w:tc>
        <w:tc>
          <w:tcPr>
            <w:tcW w:w="1134" w:type="dxa"/>
            <w:tcBorders>
              <w:top w:val="single" w:sz="8"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1674</w:t>
            </w:r>
          </w:p>
        </w:tc>
      </w:tr>
      <w:tr w:rsidR="007C50D0" w:rsidRPr="007C50D0" w:rsidTr="00091D3C">
        <w:trPr>
          <w:trHeight w:val="285"/>
        </w:trPr>
        <w:tc>
          <w:tcPr>
            <w:tcW w:w="4253" w:type="dxa"/>
            <w:tcBorders>
              <w:top w:val="single" w:sz="8"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rPr>
                <w:sz w:val="24"/>
                <w:szCs w:val="24"/>
              </w:rPr>
            </w:pPr>
            <w:r w:rsidRPr="007C50D0">
              <w:rPr>
                <w:sz w:val="24"/>
                <w:szCs w:val="24"/>
              </w:rPr>
              <w:t>Ранее судимых</w:t>
            </w:r>
          </w:p>
        </w:tc>
        <w:tc>
          <w:tcPr>
            <w:tcW w:w="992" w:type="dxa"/>
            <w:tcBorders>
              <w:top w:val="single" w:sz="8"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5081</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4606</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4677</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4325</w:t>
            </w:r>
          </w:p>
        </w:tc>
        <w:tc>
          <w:tcPr>
            <w:tcW w:w="1134" w:type="dxa"/>
            <w:tcBorders>
              <w:top w:val="single" w:sz="8"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5656</w:t>
            </w:r>
          </w:p>
        </w:tc>
      </w:tr>
      <w:tr w:rsidR="007C50D0" w:rsidRPr="007C50D0" w:rsidTr="00091D3C">
        <w:trPr>
          <w:trHeight w:val="285"/>
        </w:trPr>
        <w:tc>
          <w:tcPr>
            <w:tcW w:w="4253" w:type="dxa"/>
            <w:tcBorders>
              <w:top w:val="single" w:sz="8"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both"/>
              <w:rPr>
                <w:sz w:val="24"/>
                <w:szCs w:val="24"/>
              </w:rPr>
            </w:pPr>
            <w:r w:rsidRPr="007C50D0">
              <w:rPr>
                <w:sz w:val="24"/>
                <w:szCs w:val="24"/>
              </w:rPr>
              <w:t>В группе</w:t>
            </w:r>
          </w:p>
        </w:tc>
        <w:tc>
          <w:tcPr>
            <w:tcW w:w="992" w:type="dxa"/>
            <w:tcBorders>
              <w:top w:val="single" w:sz="8"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2222</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2134</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2356</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2296</w:t>
            </w:r>
          </w:p>
        </w:tc>
        <w:tc>
          <w:tcPr>
            <w:tcW w:w="1134" w:type="dxa"/>
            <w:tcBorders>
              <w:top w:val="single" w:sz="8"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2177</w:t>
            </w:r>
          </w:p>
        </w:tc>
      </w:tr>
      <w:tr w:rsidR="007C50D0" w:rsidRPr="007C50D0" w:rsidTr="00091D3C">
        <w:trPr>
          <w:trHeight w:val="285"/>
        </w:trPr>
        <w:tc>
          <w:tcPr>
            <w:tcW w:w="4253" w:type="dxa"/>
            <w:tcBorders>
              <w:top w:val="single" w:sz="8" w:space="0" w:color="auto"/>
              <w:left w:val="double" w:sz="4"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both"/>
              <w:rPr>
                <w:sz w:val="24"/>
                <w:szCs w:val="24"/>
              </w:rPr>
            </w:pPr>
            <w:r w:rsidRPr="007C50D0">
              <w:rPr>
                <w:sz w:val="24"/>
                <w:szCs w:val="24"/>
              </w:rPr>
              <w:t>В состоянии опьянения</w:t>
            </w:r>
          </w:p>
        </w:tc>
        <w:tc>
          <w:tcPr>
            <w:tcW w:w="992" w:type="dxa"/>
            <w:tcBorders>
              <w:top w:val="single" w:sz="8" w:space="0" w:color="auto"/>
              <w:left w:val="double" w:sz="4"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3510</w:t>
            </w:r>
          </w:p>
        </w:tc>
        <w:tc>
          <w:tcPr>
            <w:tcW w:w="851"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4186</w:t>
            </w:r>
          </w:p>
        </w:tc>
        <w:tc>
          <w:tcPr>
            <w:tcW w:w="850"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4895</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5442</w:t>
            </w:r>
          </w:p>
        </w:tc>
        <w:tc>
          <w:tcPr>
            <w:tcW w:w="1134" w:type="dxa"/>
            <w:tcBorders>
              <w:top w:val="single" w:sz="8" w:space="0" w:color="auto"/>
              <w:left w:val="single" w:sz="8" w:space="0" w:color="auto"/>
              <w:bottom w:val="single" w:sz="8"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5725</w:t>
            </w:r>
          </w:p>
        </w:tc>
      </w:tr>
      <w:tr w:rsidR="007C50D0" w:rsidRPr="007C50D0" w:rsidTr="00091D3C">
        <w:trPr>
          <w:trHeight w:val="255"/>
        </w:trPr>
        <w:tc>
          <w:tcPr>
            <w:tcW w:w="4253" w:type="dxa"/>
            <w:tcBorders>
              <w:top w:val="single" w:sz="8" w:space="0" w:color="auto"/>
              <w:left w:val="double" w:sz="4" w:space="0" w:color="auto"/>
              <w:bottom w:val="double" w:sz="4" w:space="0" w:color="auto"/>
              <w:right w:val="double" w:sz="4" w:space="0" w:color="auto"/>
            </w:tcBorders>
            <w:shd w:val="clear" w:color="auto" w:fill="FFFFFF"/>
            <w:vAlign w:val="center"/>
          </w:tcPr>
          <w:p w:rsidR="007C50D0" w:rsidRPr="007C50D0" w:rsidRDefault="007C50D0" w:rsidP="008619A6">
            <w:pPr>
              <w:contextualSpacing/>
              <w:jc w:val="both"/>
              <w:rPr>
                <w:sz w:val="24"/>
                <w:szCs w:val="24"/>
              </w:rPr>
            </w:pPr>
            <w:r w:rsidRPr="007C50D0">
              <w:rPr>
                <w:sz w:val="24"/>
                <w:szCs w:val="24"/>
              </w:rPr>
              <w:t xml:space="preserve">в том числе </w:t>
            </w:r>
            <w:proofErr w:type="gramStart"/>
            <w:r w:rsidRPr="007C50D0">
              <w:rPr>
                <w:sz w:val="24"/>
                <w:szCs w:val="24"/>
              </w:rPr>
              <w:t>наркотического</w:t>
            </w:r>
            <w:proofErr w:type="gramEnd"/>
          </w:p>
        </w:tc>
        <w:tc>
          <w:tcPr>
            <w:tcW w:w="992" w:type="dxa"/>
            <w:tcBorders>
              <w:top w:val="single" w:sz="8" w:space="0" w:color="auto"/>
              <w:left w:val="double" w:sz="4" w:space="0" w:color="auto"/>
              <w:bottom w:val="double" w:sz="4"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116</w:t>
            </w:r>
          </w:p>
        </w:tc>
        <w:tc>
          <w:tcPr>
            <w:tcW w:w="851" w:type="dxa"/>
            <w:tcBorders>
              <w:top w:val="single" w:sz="8" w:space="0" w:color="auto"/>
              <w:left w:val="single" w:sz="8" w:space="0" w:color="auto"/>
              <w:bottom w:val="double" w:sz="4"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141</w:t>
            </w:r>
          </w:p>
        </w:tc>
        <w:tc>
          <w:tcPr>
            <w:tcW w:w="850" w:type="dxa"/>
            <w:tcBorders>
              <w:top w:val="single" w:sz="8" w:space="0" w:color="auto"/>
              <w:left w:val="single" w:sz="8" w:space="0" w:color="auto"/>
              <w:bottom w:val="double" w:sz="4"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228</w:t>
            </w:r>
          </w:p>
        </w:tc>
        <w:tc>
          <w:tcPr>
            <w:tcW w:w="992" w:type="dxa"/>
            <w:tcBorders>
              <w:top w:val="single" w:sz="8" w:space="0" w:color="auto"/>
              <w:left w:val="single" w:sz="8" w:space="0" w:color="auto"/>
              <w:bottom w:val="double" w:sz="4" w:space="0" w:color="auto"/>
              <w:right w:val="single" w:sz="8"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157</w:t>
            </w:r>
          </w:p>
        </w:tc>
        <w:tc>
          <w:tcPr>
            <w:tcW w:w="1134" w:type="dxa"/>
            <w:tcBorders>
              <w:top w:val="single" w:sz="8" w:space="0" w:color="auto"/>
              <w:left w:val="single" w:sz="8" w:space="0" w:color="auto"/>
              <w:bottom w:val="double" w:sz="4" w:space="0" w:color="auto"/>
              <w:right w:val="double" w:sz="4" w:space="0" w:color="auto"/>
            </w:tcBorders>
            <w:shd w:val="clear" w:color="auto" w:fill="FFFFFF"/>
            <w:vAlign w:val="center"/>
          </w:tcPr>
          <w:p w:rsidR="007C50D0" w:rsidRPr="007C50D0" w:rsidRDefault="007C50D0" w:rsidP="008619A6">
            <w:pPr>
              <w:contextualSpacing/>
              <w:jc w:val="center"/>
              <w:rPr>
                <w:i/>
                <w:sz w:val="24"/>
                <w:szCs w:val="24"/>
              </w:rPr>
            </w:pPr>
            <w:r w:rsidRPr="007C50D0">
              <w:rPr>
                <w:i/>
                <w:sz w:val="24"/>
                <w:szCs w:val="24"/>
              </w:rPr>
              <w:t>179</w:t>
            </w:r>
          </w:p>
        </w:tc>
      </w:tr>
    </w:tbl>
    <w:p w:rsidR="007C50D0" w:rsidRPr="007C50D0" w:rsidRDefault="007C50D0" w:rsidP="008619A6">
      <w:pPr>
        <w:ind w:firstLine="680"/>
        <w:contextualSpacing/>
        <w:jc w:val="both"/>
        <w:rPr>
          <w:sz w:val="28"/>
          <w:szCs w:val="28"/>
        </w:rPr>
      </w:pPr>
      <w:r w:rsidRPr="007C50D0">
        <w:rPr>
          <w:sz w:val="28"/>
          <w:szCs w:val="28"/>
        </w:rPr>
        <w:t>Возрастные характеристики осужденных показывают, что количество лиц осужденных за совершение преступлений в возрасте 50 лет и старше составляет 10,4% от числа осужденных, что на 19,8% больше чем в 2016 году. Число осужденных лиц, совершивших преступление в среднем возрасте, в сравнении с прошлым годом также увеличилось на 17% и составило 51% от числа осужденных в 2017 году. Количество осужденных лиц, совершивших преступление в возрасте с 14 лет до 29 лет, в 2017 году составило 38,5%, что на 1,4% меньше чем за прошлый период.</w:t>
      </w:r>
    </w:p>
    <w:p w:rsidR="007C50D0" w:rsidRPr="007C50D0" w:rsidRDefault="007C50D0" w:rsidP="008619A6">
      <w:pPr>
        <w:ind w:firstLine="680"/>
        <w:contextualSpacing/>
        <w:jc w:val="both"/>
        <w:rPr>
          <w:sz w:val="28"/>
          <w:szCs w:val="28"/>
          <w:u w:val="single"/>
        </w:rPr>
      </w:pPr>
      <w:r w:rsidRPr="007C50D0">
        <w:rPr>
          <w:sz w:val="28"/>
          <w:szCs w:val="28"/>
          <w:u w:val="single"/>
        </w:rPr>
        <w:t>Несовершеннолетние</w:t>
      </w:r>
    </w:p>
    <w:p w:rsidR="007C50D0" w:rsidRPr="007C50D0" w:rsidRDefault="007C50D0" w:rsidP="008619A6">
      <w:pPr>
        <w:ind w:firstLine="680"/>
        <w:contextualSpacing/>
        <w:jc w:val="both"/>
        <w:rPr>
          <w:sz w:val="28"/>
          <w:szCs w:val="28"/>
        </w:rPr>
      </w:pPr>
      <w:r w:rsidRPr="007C50D0">
        <w:rPr>
          <w:sz w:val="28"/>
          <w:szCs w:val="28"/>
        </w:rPr>
        <w:t xml:space="preserve">По сравнению с 2016 годом наблюдается уменьшение количества осужденных несовершеннолетних (на 22,3%). Более половины (51,4%) осужденных подростков в 2017 году воспитывались в полной семье, что на 24,4% больше чем в 2016 году. </w:t>
      </w:r>
    </w:p>
    <w:p w:rsidR="007C50D0" w:rsidRPr="007C50D0" w:rsidRDefault="007C50D0" w:rsidP="008619A6">
      <w:pPr>
        <w:ind w:firstLine="680"/>
        <w:contextualSpacing/>
        <w:jc w:val="both"/>
        <w:rPr>
          <w:sz w:val="28"/>
          <w:szCs w:val="28"/>
        </w:rPr>
      </w:pPr>
      <w:r w:rsidRPr="007C50D0">
        <w:rPr>
          <w:sz w:val="28"/>
          <w:szCs w:val="28"/>
        </w:rPr>
        <w:lastRenderedPageBreak/>
        <w:t>В сравнении с прошлым годом уменьшилось на 26,2% число несовершеннолетних учащихся. Однако удельный вес этой группы осужденных по-прежнему высок – 67,2% .</w:t>
      </w:r>
    </w:p>
    <w:p w:rsidR="007C50D0" w:rsidRPr="007C50D0" w:rsidRDefault="007C50D0" w:rsidP="008619A6">
      <w:pPr>
        <w:ind w:firstLine="680"/>
        <w:contextualSpacing/>
        <w:jc w:val="both"/>
        <w:rPr>
          <w:sz w:val="28"/>
          <w:szCs w:val="28"/>
        </w:rPr>
      </w:pPr>
      <w:r w:rsidRPr="007C50D0">
        <w:rPr>
          <w:sz w:val="28"/>
          <w:szCs w:val="28"/>
        </w:rPr>
        <w:t xml:space="preserve">Доля подростков, осужденных за преступления, совершенные в группе составляет, – 49,3 %., что на 19,3% меньше чем в прошлом отчетном периоде. По сравнению с 2016 годом наблюдается уменьшение — на 17,2% — количества несовершеннолетних лиц, совершивших преступление без участия взрослых. </w:t>
      </w:r>
    </w:p>
    <w:p w:rsidR="007C50D0" w:rsidRPr="007C50D0" w:rsidRDefault="007C50D0" w:rsidP="008619A6">
      <w:pPr>
        <w:ind w:firstLine="680"/>
        <w:contextualSpacing/>
        <w:jc w:val="both"/>
        <w:rPr>
          <w:sz w:val="28"/>
          <w:szCs w:val="28"/>
        </w:rPr>
      </w:pPr>
      <w:r w:rsidRPr="007C50D0">
        <w:rPr>
          <w:sz w:val="28"/>
          <w:szCs w:val="28"/>
        </w:rPr>
        <w:t>Количество несовершеннолетних, которые в момент совершения преступления находились в состоянии алкогольного опьянения, остался на том же уровне, а</w:t>
      </w:r>
      <w:r w:rsidRPr="007C50D0">
        <w:t xml:space="preserve"> </w:t>
      </w:r>
      <w:r w:rsidRPr="007C50D0">
        <w:rPr>
          <w:sz w:val="28"/>
          <w:szCs w:val="28"/>
        </w:rPr>
        <w:t>число несовершеннолетних, находившихся в момент преступления в наркотическом опьянении, уменьшилось на 80% (см. Таблицу 34).</w:t>
      </w:r>
    </w:p>
    <w:p w:rsidR="007C50D0" w:rsidRPr="007C50D0" w:rsidRDefault="007C50D0" w:rsidP="008619A6">
      <w:pPr>
        <w:contextualSpacing/>
        <w:jc w:val="right"/>
        <w:rPr>
          <w:sz w:val="28"/>
          <w:szCs w:val="28"/>
        </w:rPr>
      </w:pPr>
      <w:r w:rsidRPr="007C50D0">
        <w:rPr>
          <w:sz w:val="24"/>
          <w:szCs w:val="24"/>
        </w:rPr>
        <w:t xml:space="preserve">                                                                                                                                Таблица </w:t>
      </w:r>
      <w:r w:rsidR="00F8243A">
        <w:rPr>
          <w:sz w:val="24"/>
          <w:szCs w:val="24"/>
        </w:rPr>
        <w:t>4</w:t>
      </w:r>
      <w:r w:rsidR="00E45BEB">
        <w:rPr>
          <w:sz w:val="24"/>
          <w:szCs w:val="24"/>
        </w:rPr>
        <w:t>9</w:t>
      </w:r>
    </w:p>
    <w:tbl>
      <w:tblPr>
        <w:tblW w:w="9072" w:type="dxa"/>
        <w:tblInd w:w="250" w:type="dxa"/>
        <w:tblLayout w:type="fixed"/>
        <w:tblLook w:val="0000" w:firstRow="0" w:lastRow="0" w:firstColumn="0" w:lastColumn="0" w:noHBand="0" w:noVBand="0"/>
      </w:tblPr>
      <w:tblGrid>
        <w:gridCol w:w="4536"/>
        <w:gridCol w:w="993"/>
        <w:gridCol w:w="850"/>
        <w:gridCol w:w="851"/>
        <w:gridCol w:w="850"/>
        <w:gridCol w:w="992"/>
      </w:tblGrid>
      <w:tr w:rsidR="007C50D0" w:rsidRPr="007C50D0" w:rsidTr="00091D3C">
        <w:trPr>
          <w:trHeight w:val="348"/>
        </w:trPr>
        <w:tc>
          <w:tcPr>
            <w:tcW w:w="9072" w:type="dxa"/>
            <w:gridSpan w:val="6"/>
            <w:tcBorders>
              <w:top w:val="double"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Характеристика несовершеннолетних осужденных</w:t>
            </w:r>
          </w:p>
        </w:tc>
      </w:tr>
      <w:tr w:rsidR="007C50D0" w:rsidRPr="007C50D0" w:rsidTr="00091D3C">
        <w:trPr>
          <w:trHeight w:val="272"/>
        </w:trPr>
        <w:tc>
          <w:tcPr>
            <w:tcW w:w="4536" w:type="dxa"/>
            <w:tcBorders>
              <w:top w:val="single" w:sz="4" w:space="0" w:color="auto"/>
              <w:left w:val="double" w:sz="4" w:space="0" w:color="auto"/>
              <w:bottom w:val="thickThinLargeGap" w:sz="24" w:space="0" w:color="auto"/>
              <w:right w:val="double" w:sz="4" w:space="0" w:color="auto"/>
            </w:tcBorders>
            <w:shd w:val="clear" w:color="auto" w:fill="auto"/>
            <w:noWrap/>
            <w:vAlign w:val="center"/>
          </w:tcPr>
          <w:p w:rsidR="007C50D0" w:rsidRPr="007C50D0" w:rsidRDefault="007C50D0" w:rsidP="008619A6">
            <w:pPr>
              <w:contextualSpacing/>
              <w:rPr>
                <w:b/>
                <w:sz w:val="24"/>
                <w:szCs w:val="24"/>
              </w:rPr>
            </w:pPr>
            <w:r w:rsidRPr="007C50D0">
              <w:rPr>
                <w:b/>
                <w:sz w:val="24"/>
                <w:szCs w:val="24"/>
              </w:rPr>
              <w:t> </w:t>
            </w:r>
          </w:p>
        </w:tc>
        <w:tc>
          <w:tcPr>
            <w:tcW w:w="993" w:type="dxa"/>
            <w:tcBorders>
              <w:top w:val="single" w:sz="4" w:space="0" w:color="auto"/>
              <w:left w:val="double" w:sz="4" w:space="0" w:color="auto"/>
              <w:bottom w:val="thickThinLargeGap" w:sz="24" w:space="0" w:color="auto"/>
              <w:right w:val="single" w:sz="4" w:space="0" w:color="auto"/>
            </w:tcBorders>
            <w:shd w:val="clear" w:color="auto" w:fill="auto"/>
            <w:noWrap/>
            <w:vAlign w:val="center"/>
          </w:tcPr>
          <w:p w:rsidR="007C50D0" w:rsidRPr="007C50D0" w:rsidRDefault="007C50D0" w:rsidP="008619A6">
            <w:pPr>
              <w:contextualSpacing/>
              <w:jc w:val="center"/>
              <w:rPr>
                <w:b/>
                <w:bCs/>
                <w:color w:val="000000"/>
                <w:sz w:val="24"/>
                <w:szCs w:val="24"/>
              </w:rPr>
            </w:pPr>
            <w:r w:rsidRPr="007C50D0">
              <w:rPr>
                <w:b/>
                <w:bCs/>
                <w:color w:val="000000"/>
              </w:rPr>
              <w:t>2013</w:t>
            </w:r>
          </w:p>
        </w:tc>
        <w:tc>
          <w:tcPr>
            <w:tcW w:w="850" w:type="dxa"/>
            <w:tcBorders>
              <w:top w:val="single" w:sz="4" w:space="0" w:color="auto"/>
              <w:left w:val="nil"/>
              <w:bottom w:val="thickThinLargeGap" w:sz="24" w:space="0" w:color="auto"/>
              <w:right w:val="single" w:sz="4" w:space="0" w:color="auto"/>
            </w:tcBorders>
            <w:shd w:val="clear" w:color="auto" w:fill="auto"/>
            <w:noWrap/>
            <w:vAlign w:val="center"/>
          </w:tcPr>
          <w:p w:rsidR="007C50D0" w:rsidRPr="007C50D0" w:rsidRDefault="007C50D0" w:rsidP="008619A6">
            <w:pPr>
              <w:contextualSpacing/>
              <w:jc w:val="center"/>
              <w:rPr>
                <w:b/>
                <w:bCs/>
                <w:color w:val="000000"/>
                <w:sz w:val="24"/>
                <w:szCs w:val="24"/>
              </w:rPr>
            </w:pPr>
            <w:r w:rsidRPr="007C50D0">
              <w:rPr>
                <w:b/>
                <w:bCs/>
                <w:color w:val="000000"/>
              </w:rPr>
              <w:t>2014</w:t>
            </w:r>
          </w:p>
        </w:tc>
        <w:tc>
          <w:tcPr>
            <w:tcW w:w="851" w:type="dxa"/>
            <w:tcBorders>
              <w:top w:val="single" w:sz="4" w:space="0" w:color="auto"/>
              <w:left w:val="nil"/>
              <w:bottom w:val="thickThinLargeGap" w:sz="24" w:space="0" w:color="auto"/>
              <w:right w:val="single" w:sz="4" w:space="0" w:color="auto"/>
            </w:tcBorders>
            <w:shd w:val="clear" w:color="auto" w:fill="auto"/>
            <w:noWrap/>
            <w:vAlign w:val="center"/>
          </w:tcPr>
          <w:p w:rsidR="007C50D0" w:rsidRPr="007C50D0" w:rsidRDefault="007C50D0" w:rsidP="008619A6">
            <w:pPr>
              <w:contextualSpacing/>
              <w:jc w:val="center"/>
              <w:rPr>
                <w:b/>
                <w:bCs/>
                <w:color w:val="000000"/>
                <w:sz w:val="24"/>
                <w:szCs w:val="24"/>
              </w:rPr>
            </w:pPr>
            <w:r w:rsidRPr="007C50D0">
              <w:rPr>
                <w:b/>
                <w:bCs/>
                <w:color w:val="000000"/>
              </w:rPr>
              <w:t>2015</w:t>
            </w:r>
          </w:p>
        </w:tc>
        <w:tc>
          <w:tcPr>
            <w:tcW w:w="850" w:type="dxa"/>
            <w:tcBorders>
              <w:top w:val="single" w:sz="4" w:space="0" w:color="auto"/>
              <w:left w:val="nil"/>
              <w:bottom w:val="thickThinLargeGap" w:sz="24" w:space="0" w:color="auto"/>
              <w:right w:val="single" w:sz="4" w:space="0" w:color="auto"/>
            </w:tcBorders>
            <w:shd w:val="clear" w:color="auto" w:fill="auto"/>
            <w:noWrap/>
            <w:vAlign w:val="center"/>
          </w:tcPr>
          <w:p w:rsidR="007C50D0" w:rsidRPr="007C50D0" w:rsidRDefault="007C50D0" w:rsidP="008619A6">
            <w:pPr>
              <w:contextualSpacing/>
              <w:jc w:val="center"/>
              <w:rPr>
                <w:b/>
                <w:bCs/>
                <w:color w:val="000000"/>
                <w:sz w:val="24"/>
                <w:szCs w:val="24"/>
              </w:rPr>
            </w:pPr>
            <w:r w:rsidRPr="007C50D0">
              <w:rPr>
                <w:b/>
                <w:bCs/>
                <w:color w:val="000000"/>
              </w:rPr>
              <w:t>2016</w:t>
            </w:r>
          </w:p>
        </w:tc>
        <w:tc>
          <w:tcPr>
            <w:tcW w:w="992" w:type="dxa"/>
            <w:tcBorders>
              <w:top w:val="single" w:sz="4" w:space="0" w:color="auto"/>
              <w:left w:val="nil"/>
              <w:bottom w:val="thickThinLargeGap" w:sz="24" w:space="0" w:color="auto"/>
              <w:right w:val="double" w:sz="4" w:space="0" w:color="auto"/>
            </w:tcBorders>
            <w:shd w:val="clear" w:color="auto" w:fill="auto"/>
            <w:noWrap/>
            <w:vAlign w:val="center"/>
          </w:tcPr>
          <w:p w:rsidR="007C50D0" w:rsidRPr="007C50D0" w:rsidRDefault="007C50D0" w:rsidP="008619A6">
            <w:pPr>
              <w:contextualSpacing/>
              <w:jc w:val="center"/>
              <w:rPr>
                <w:b/>
                <w:bCs/>
                <w:color w:val="000000"/>
                <w:sz w:val="24"/>
                <w:szCs w:val="24"/>
              </w:rPr>
            </w:pPr>
            <w:r w:rsidRPr="007C50D0">
              <w:rPr>
                <w:b/>
                <w:bCs/>
                <w:color w:val="000000"/>
              </w:rPr>
              <w:t>2017</w:t>
            </w:r>
          </w:p>
        </w:tc>
      </w:tr>
      <w:tr w:rsidR="007C50D0" w:rsidRPr="007C50D0" w:rsidTr="00091D3C">
        <w:trPr>
          <w:trHeight w:val="257"/>
        </w:trPr>
        <w:tc>
          <w:tcPr>
            <w:tcW w:w="4536" w:type="dxa"/>
            <w:tcBorders>
              <w:top w:val="thickThinLargeGap" w:sz="24" w:space="0" w:color="auto"/>
              <w:left w:val="double" w:sz="4" w:space="0" w:color="auto"/>
              <w:bottom w:val="dotted" w:sz="4" w:space="0" w:color="auto"/>
              <w:right w:val="double" w:sz="4" w:space="0" w:color="auto"/>
            </w:tcBorders>
            <w:shd w:val="clear" w:color="auto" w:fill="auto"/>
            <w:noWrap/>
            <w:vAlign w:val="center"/>
          </w:tcPr>
          <w:p w:rsidR="007C50D0" w:rsidRPr="007C50D0" w:rsidRDefault="007C50D0" w:rsidP="008619A6">
            <w:pPr>
              <w:contextualSpacing/>
              <w:rPr>
                <w:b/>
                <w:sz w:val="24"/>
                <w:szCs w:val="24"/>
              </w:rPr>
            </w:pPr>
            <w:r w:rsidRPr="007C50D0">
              <w:rPr>
                <w:b/>
                <w:sz w:val="24"/>
                <w:szCs w:val="24"/>
              </w:rPr>
              <w:t>Пол</w:t>
            </w:r>
          </w:p>
        </w:tc>
        <w:tc>
          <w:tcPr>
            <w:tcW w:w="993" w:type="dxa"/>
            <w:tcBorders>
              <w:top w:val="thickThinLargeGap" w:sz="24" w:space="0" w:color="auto"/>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 </w:t>
            </w:r>
          </w:p>
        </w:tc>
        <w:tc>
          <w:tcPr>
            <w:tcW w:w="850" w:type="dxa"/>
            <w:tcBorders>
              <w:top w:val="thickThinLargeGap" w:sz="2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 </w:t>
            </w:r>
          </w:p>
        </w:tc>
        <w:tc>
          <w:tcPr>
            <w:tcW w:w="851" w:type="dxa"/>
            <w:tcBorders>
              <w:top w:val="thickThinLargeGap" w:sz="2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 </w:t>
            </w:r>
          </w:p>
        </w:tc>
        <w:tc>
          <w:tcPr>
            <w:tcW w:w="850" w:type="dxa"/>
            <w:tcBorders>
              <w:top w:val="thickThinLargeGap" w:sz="2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 </w:t>
            </w:r>
          </w:p>
        </w:tc>
        <w:tc>
          <w:tcPr>
            <w:tcW w:w="992" w:type="dxa"/>
            <w:tcBorders>
              <w:top w:val="thickThinLargeGap" w:sz="24" w:space="0" w:color="auto"/>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color w:val="000000"/>
                <w:sz w:val="24"/>
                <w:szCs w:val="24"/>
              </w:rPr>
            </w:pPr>
            <w:r w:rsidRPr="007C50D0">
              <w:rPr>
                <w:color w:val="000000"/>
                <w:sz w:val="24"/>
                <w:szCs w:val="24"/>
              </w:rPr>
              <w:t> </w:t>
            </w:r>
          </w:p>
        </w:tc>
      </w:tr>
      <w:tr w:rsidR="007C50D0" w:rsidRPr="007C50D0" w:rsidTr="00091D3C">
        <w:trPr>
          <w:trHeight w:val="257"/>
        </w:trPr>
        <w:tc>
          <w:tcPr>
            <w:tcW w:w="4536" w:type="dxa"/>
            <w:tcBorders>
              <w:top w:val="dotted" w:sz="4" w:space="0" w:color="auto"/>
              <w:left w:val="double" w:sz="4" w:space="0" w:color="auto"/>
              <w:bottom w:val="dotted" w:sz="4" w:space="0" w:color="auto"/>
              <w:right w:val="double" w:sz="4" w:space="0" w:color="auto"/>
            </w:tcBorders>
            <w:shd w:val="clear" w:color="auto" w:fill="auto"/>
            <w:noWrap/>
            <w:vAlign w:val="center"/>
          </w:tcPr>
          <w:p w:rsidR="007C50D0" w:rsidRPr="007C50D0" w:rsidRDefault="007C50D0" w:rsidP="008619A6">
            <w:pPr>
              <w:contextualSpacing/>
              <w:rPr>
                <w:sz w:val="24"/>
                <w:szCs w:val="24"/>
              </w:rPr>
            </w:pPr>
            <w:r w:rsidRPr="007C50D0">
              <w:rPr>
                <w:sz w:val="24"/>
                <w:szCs w:val="24"/>
              </w:rPr>
              <w:t>мужчины</w:t>
            </w:r>
          </w:p>
        </w:tc>
        <w:tc>
          <w:tcPr>
            <w:tcW w:w="993" w:type="dxa"/>
            <w:tcBorders>
              <w:top w:val="dotted" w:sz="4" w:space="0" w:color="auto"/>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619</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480</w:t>
            </w:r>
          </w:p>
        </w:tc>
        <w:tc>
          <w:tcPr>
            <w:tcW w:w="851"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565</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516</w:t>
            </w:r>
          </w:p>
        </w:tc>
        <w:tc>
          <w:tcPr>
            <w:tcW w:w="992" w:type="dxa"/>
            <w:tcBorders>
              <w:top w:val="dotted" w:sz="4" w:space="0" w:color="auto"/>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389</w:t>
            </w:r>
          </w:p>
        </w:tc>
      </w:tr>
      <w:tr w:rsidR="007C50D0" w:rsidRPr="007C50D0" w:rsidTr="00091D3C">
        <w:trPr>
          <w:trHeight w:val="257"/>
        </w:trPr>
        <w:tc>
          <w:tcPr>
            <w:tcW w:w="4536" w:type="dxa"/>
            <w:tcBorders>
              <w:top w:val="dotted" w:sz="4" w:space="0" w:color="auto"/>
              <w:left w:val="doub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rPr>
                <w:sz w:val="24"/>
                <w:szCs w:val="24"/>
              </w:rPr>
            </w:pPr>
            <w:r w:rsidRPr="007C50D0">
              <w:rPr>
                <w:sz w:val="24"/>
                <w:szCs w:val="24"/>
              </w:rPr>
              <w:t>женщины</w:t>
            </w:r>
          </w:p>
        </w:tc>
        <w:tc>
          <w:tcPr>
            <w:tcW w:w="993" w:type="dxa"/>
            <w:tcBorders>
              <w:top w:val="dotted" w:sz="4" w:space="0" w:color="auto"/>
              <w:left w:val="double" w:sz="4"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58</w:t>
            </w:r>
          </w:p>
        </w:tc>
        <w:tc>
          <w:tcPr>
            <w:tcW w:w="850" w:type="dxa"/>
            <w:tcBorders>
              <w:top w:val="dotted" w:sz="4" w:space="0" w:color="auto"/>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44</w:t>
            </w:r>
          </w:p>
        </w:tc>
        <w:tc>
          <w:tcPr>
            <w:tcW w:w="851" w:type="dxa"/>
            <w:tcBorders>
              <w:top w:val="dotted" w:sz="4" w:space="0" w:color="auto"/>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51</w:t>
            </w:r>
          </w:p>
        </w:tc>
        <w:tc>
          <w:tcPr>
            <w:tcW w:w="850" w:type="dxa"/>
            <w:tcBorders>
              <w:top w:val="dotted" w:sz="4" w:space="0" w:color="auto"/>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34</w:t>
            </w:r>
          </w:p>
        </w:tc>
        <w:tc>
          <w:tcPr>
            <w:tcW w:w="992" w:type="dxa"/>
            <w:tcBorders>
              <w:top w:val="dotted" w:sz="4" w:space="0" w:color="auto"/>
              <w:left w:val="nil"/>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33</w:t>
            </w:r>
          </w:p>
        </w:tc>
      </w:tr>
      <w:tr w:rsidR="007C50D0" w:rsidRPr="007C50D0" w:rsidTr="00091D3C">
        <w:trPr>
          <w:trHeight w:val="272"/>
        </w:trPr>
        <w:tc>
          <w:tcPr>
            <w:tcW w:w="4536" w:type="dxa"/>
            <w:tcBorders>
              <w:top w:val="nil"/>
              <w:left w:val="double" w:sz="4" w:space="0" w:color="auto"/>
              <w:bottom w:val="dotted" w:sz="4" w:space="0" w:color="auto"/>
              <w:right w:val="double" w:sz="4" w:space="0" w:color="auto"/>
            </w:tcBorders>
            <w:shd w:val="clear" w:color="auto" w:fill="auto"/>
            <w:noWrap/>
            <w:vAlign w:val="center"/>
          </w:tcPr>
          <w:p w:rsidR="007C50D0" w:rsidRPr="007C50D0" w:rsidRDefault="007C50D0" w:rsidP="008619A6">
            <w:pPr>
              <w:contextualSpacing/>
              <w:rPr>
                <w:b/>
                <w:sz w:val="24"/>
                <w:szCs w:val="24"/>
              </w:rPr>
            </w:pPr>
            <w:r w:rsidRPr="007C50D0">
              <w:rPr>
                <w:b/>
                <w:sz w:val="24"/>
                <w:szCs w:val="24"/>
              </w:rPr>
              <w:t xml:space="preserve">Социальное положение:           </w:t>
            </w:r>
          </w:p>
        </w:tc>
        <w:tc>
          <w:tcPr>
            <w:tcW w:w="993" w:type="dxa"/>
            <w:tcBorders>
              <w:top w:val="nil"/>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850" w:type="dxa"/>
            <w:tcBorders>
              <w:top w:val="nil"/>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851" w:type="dxa"/>
            <w:tcBorders>
              <w:top w:val="nil"/>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850" w:type="dxa"/>
            <w:tcBorders>
              <w:top w:val="nil"/>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992" w:type="dxa"/>
            <w:tcBorders>
              <w:top w:val="nil"/>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r>
      <w:tr w:rsidR="007C50D0" w:rsidRPr="007C50D0" w:rsidTr="00091D3C">
        <w:trPr>
          <w:trHeight w:val="257"/>
        </w:trPr>
        <w:tc>
          <w:tcPr>
            <w:tcW w:w="4536" w:type="dxa"/>
            <w:tcBorders>
              <w:top w:val="dotted" w:sz="4" w:space="0" w:color="auto"/>
              <w:left w:val="double" w:sz="4" w:space="0" w:color="auto"/>
              <w:bottom w:val="dotted" w:sz="4" w:space="0" w:color="auto"/>
              <w:right w:val="double" w:sz="4" w:space="0" w:color="auto"/>
            </w:tcBorders>
            <w:shd w:val="clear" w:color="auto" w:fill="auto"/>
            <w:noWrap/>
            <w:vAlign w:val="center"/>
          </w:tcPr>
          <w:p w:rsidR="007C50D0" w:rsidRPr="007C50D0" w:rsidRDefault="007C50D0" w:rsidP="008619A6">
            <w:pPr>
              <w:contextualSpacing/>
              <w:rPr>
                <w:sz w:val="24"/>
                <w:szCs w:val="24"/>
              </w:rPr>
            </w:pPr>
            <w:r w:rsidRPr="007C50D0">
              <w:rPr>
                <w:sz w:val="24"/>
                <w:szCs w:val="24"/>
              </w:rPr>
              <w:t xml:space="preserve">учащиеся                                           </w:t>
            </w:r>
          </w:p>
        </w:tc>
        <w:tc>
          <w:tcPr>
            <w:tcW w:w="993" w:type="dxa"/>
            <w:tcBorders>
              <w:top w:val="dotted" w:sz="4" w:space="0" w:color="auto"/>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471</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384</w:t>
            </w:r>
          </w:p>
        </w:tc>
        <w:tc>
          <w:tcPr>
            <w:tcW w:w="851"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413</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385</w:t>
            </w:r>
          </w:p>
        </w:tc>
        <w:tc>
          <w:tcPr>
            <w:tcW w:w="992" w:type="dxa"/>
            <w:tcBorders>
              <w:top w:val="dotted" w:sz="4" w:space="0" w:color="auto"/>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284</w:t>
            </w:r>
          </w:p>
        </w:tc>
      </w:tr>
      <w:tr w:rsidR="007C50D0" w:rsidRPr="007C50D0" w:rsidTr="00091D3C">
        <w:trPr>
          <w:trHeight w:val="257"/>
        </w:trPr>
        <w:tc>
          <w:tcPr>
            <w:tcW w:w="4536" w:type="dxa"/>
            <w:tcBorders>
              <w:top w:val="dotted" w:sz="4" w:space="0" w:color="auto"/>
              <w:left w:val="double" w:sz="4" w:space="0" w:color="auto"/>
              <w:bottom w:val="dotted" w:sz="4" w:space="0" w:color="auto"/>
              <w:right w:val="double" w:sz="4" w:space="0" w:color="auto"/>
            </w:tcBorders>
            <w:shd w:val="clear" w:color="auto" w:fill="auto"/>
            <w:noWrap/>
            <w:vAlign w:val="center"/>
          </w:tcPr>
          <w:p w:rsidR="007C50D0" w:rsidRPr="007C50D0" w:rsidRDefault="007C50D0" w:rsidP="008619A6">
            <w:pPr>
              <w:contextualSpacing/>
              <w:rPr>
                <w:sz w:val="24"/>
                <w:szCs w:val="24"/>
              </w:rPr>
            </w:pPr>
            <w:r w:rsidRPr="007C50D0">
              <w:rPr>
                <w:sz w:val="24"/>
                <w:szCs w:val="24"/>
              </w:rPr>
              <w:t>работающие</w:t>
            </w:r>
          </w:p>
        </w:tc>
        <w:tc>
          <w:tcPr>
            <w:tcW w:w="993" w:type="dxa"/>
            <w:tcBorders>
              <w:top w:val="dotted" w:sz="4" w:space="0" w:color="auto"/>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19</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15</w:t>
            </w:r>
          </w:p>
        </w:tc>
        <w:tc>
          <w:tcPr>
            <w:tcW w:w="851"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15</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12</w:t>
            </w:r>
          </w:p>
        </w:tc>
        <w:tc>
          <w:tcPr>
            <w:tcW w:w="992" w:type="dxa"/>
            <w:tcBorders>
              <w:top w:val="dotted" w:sz="4" w:space="0" w:color="auto"/>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10</w:t>
            </w:r>
          </w:p>
        </w:tc>
      </w:tr>
      <w:tr w:rsidR="007C50D0" w:rsidRPr="007C50D0" w:rsidTr="00091D3C">
        <w:trPr>
          <w:trHeight w:val="257"/>
        </w:trPr>
        <w:tc>
          <w:tcPr>
            <w:tcW w:w="4536" w:type="dxa"/>
            <w:tcBorders>
              <w:top w:val="dotted" w:sz="4" w:space="0" w:color="auto"/>
              <w:left w:val="double" w:sz="4" w:space="0" w:color="auto"/>
              <w:bottom w:val="dotted" w:sz="4" w:space="0" w:color="auto"/>
              <w:right w:val="double" w:sz="4" w:space="0" w:color="auto"/>
            </w:tcBorders>
            <w:shd w:val="clear" w:color="auto" w:fill="auto"/>
            <w:noWrap/>
            <w:vAlign w:val="center"/>
          </w:tcPr>
          <w:p w:rsidR="007C50D0" w:rsidRPr="007C50D0" w:rsidRDefault="007C50D0" w:rsidP="008619A6">
            <w:pPr>
              <w:contextualSpacing/>
              <w:rPr>
                <w:sz w:val="24"/>
                <w:szCs w:val="24"/>
              </w:rPr>
            </w:pPr>
            <w:r w:rsidRPr="007C50D0">
              <w:rPr>
                <w:sz w:val="24"/>
                <w:szCs w:val="24"/>
              </w:rPr>
              <w:t>трудоспособные, неработающие и не учащиеся</w:t>
            </w:r>
          </w:p>
        </w:tc>
        <w:tc>
          <w:tcPr>
            <w:tcW w:w="993" w:type="dxa"/>
            <w:tcBorders>
              <w:top w:val="dotted" w:sz="4" w:space="0" w:color="auto"/>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187</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125</w:t>
            </w:r>
          </w:p>
        </w:tc>
        <w:tc>
          <w:tcPr>
            <w:tcW w:w="851"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189</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153</w:t>
            </w:r>
          </w:p>
        </w:tc>
        <w:tc>
          <w:tcPr>
            <w:tcW w:w="992" w:type="dxa"/>
            <w:tcBorders>
              <w:top w:val="dotted" w:sz="4" w:space="0" w:color="auto"/>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127</w:t>
            </w:r>
          </w:p>
        </w:tc>
      </w:tr>
      <w:tr w:rsidR="007C50D0" w:rsidRPr="007C50D0" w:rsidTr="00091D3C">
        <w:trPr>
          <w:trHeight w:val="376"/>
        </w:trPr>
        <w:tc>
          <w:tcPr>
            <w:tcW w:w="4536" w:type="dxa"/>
            <w:tcBorders>
              <w:top w:val="dotted"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rPr>
                <w:sz w:val="24"/>
                <w:szCs w:val="24"/>
              </w:rPr>
            </w:pPr>
            <w:r w:rsidRPr="007C50D0">
              <w:rPr>
                <w:sz w:val="24"/>
                <w:szCs w:val="24"/>
              </w:rPr>
              <w:t>нетрудоспособные</w:t>
            </w:r>
          </w:p>
        </w:tc>
        <w:tc>
          <w:tcPr>
            <w:tcW w:w="993" w:type="dxa"/>
            <w:tcBorders>
              <w:top w:val="dotted" w:sz="4" w:space="0" w:color="auto"/>
              <w:left w:val="double" w:sz="4"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w:t>
            </w:r>
          </w:p>
        </w:tc>
        <w:tc>
          <w:tcPr>
            <w:tcW w:w="850" w:type="dxa"/>
            <w:tcBorders>
              <w:top w:val="dotted" w:sz="4" w:space="0" w:color="auto"/>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10</w:t>
            </w:r>
          </w:p>
        </w:tc>
        <w:tc>
          <w:tcPr>
            <w:tcW w:w="851" w:type="dxa"/>
            <w:tcBorders>
              <w:top w:val="dotted" w:sz="4" w:space="0" w:color="auto"/>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9</w:t>
            </w:r>
          </w:p>
        </w:tc>
        <w:tc>
          <w:tcPr>
            <w:tcW w:w="850" w:type="dxa"/>
            <w:tcBorders>
              <w:top w:val="dotted" w:sz="4" w:space="0" w:color="auto"/>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10</w:t>
            </w:r>
          </w:p>
        </w:tc>
        <w:tc>
          <w:tcPr>
            <w:tcW w:w="992" w:type="dxa"/>
            <w:tcBorders>
              <w:top w:val="dotted" w:sz="4" w:space="0" w:color="auto"/>
              <w:left w:val="nil"/>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9</w:t>
            </w:r>
          </w:p>
        </w:tc>
      </w:tr>
      <w:tr w:rsidR="007C50D0" w:rsidRPr="007C50D0" w:rsidTr="00091D3C">
        <w:trPr>
          <w:trHeight w:val="272"/>
        </w:trPr>
        <w:tc>
          <w:tcPr>
            <w:tcW w:w="4536" w:type="dxa"/>
            <w:tcBorders>
              <w:top w:val="nil"/>
              <w:left w:val="double" w:sz="4" w:space="0" w:color="auto"/>
              <w:bottom w:val="dotted" w:sz="4" w:space="0" w:color="auto"/>
              <w:right w:val="double" w:sz="4" w:space="0" w:color="auto"/>
            </w:tcBorders>
            <w:shd w:val="clear" w:color="auto" w:fill="auto"/>
            <w:noWrap/>
            <w:vAlign w:val="center"/>
          </w:tcPr>
          <w:p w:rsidR="007C50D0" w:rsidRPr="007C50D0" w:rsidRDefault="007C50D0" w:rsidP="008619A6">
            <w:pPr>
              <w:contextualSpacing/>
              <w:rPr>
                <w:b/>
                <w:sz w:val="24"/>
                <w:szCs w:val="24"/>
              </w:rPr>
            </w:pPr>
            <w:r w:rsidRPr="007C50D0">
              <w:rPr>
                <w:b/>
                <w:sz w:val="24"/>
                <w:szCs w:val="24"/>
              </w:rPr>
              <w:t xml:space="preserve">Воспитание: </w:t>
            </w:r>
          </w:p>
        </w:tc>
        <w:tc>
          <w:tcPr>
            <w:tcW w:w="993" w:type="dxa"/>
            <w:tcBorders>
              <w:top w:val="nil"/>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850" w:type="dxa"/>
            <w:tcBorders>
              <w:top w:val="nil"/>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851" w:type="dxa"/>
            <w:tcBorders>
              <w:top w:val="nil"/>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850" w:type="dxa"/>
            <w:tcBorders>
              <w:top w:val="nil"/>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992" w:type="dxa"/>
            <w:tcBorders>
              <w:top w:val="nil"/>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r>
      <w:tr w:rsidR="007C50D0" w:rsidRPr="007C50D0" w:rsidTr="00091D3C">
        <w:trPr>
          <w:trHeight w:val="257"/>
        </w:trPr>
        <w:tc>
          <w:tcPr>
            <w:tcW w:w="4536" w:type="dxa"/>
            <w:tcBorders>
              <w:top w:val="dotted" w:sz="4" w:space="0" w:color="auto"/>
              <w:left w:val="double" w:sz="4" w:space="0" w:color="auto"/>
              <w:bottom w:val="dotted" w:sz="4" w:space="0" w:color="auto"/>
              <w:right w:val="double" w:sz="4" w:space="0" w:color="auto"/>
            </w:tcBorders>
            <w:shd w:val="clear" w:color="auto" w:fill="auto"/>
            <w:noWrap/>
            <w:vAlign w:val="center"/>
          </w:tcPr>
          <w:p w:rsidR="007C50D0" w:rsidRPr="007C50D0" w:rsidRDefault="007C50D0" w:rsidP="008619A6">
            <w:pPr>
              <w:contextualSpacing/>
              <w:rPr>
                <w:sz w:val="24"/>
                <w:szCs w:val="24"/>
              </w:rPr>
            </w:pPr>
            <w:r w:rsidRPr="007C50D0">
              <w:rPr>
                <w:sz w:val="24"/>
                <w:szCs w:val="24"/>
              </w:rPr>
              <w:t>в полной семье</w:t>
            </w:r>
          </w:p>
        </w:tc>
        <w:tc>
          <w:tcPr>
            <w:tcW w:w="993" w:type="dxa"/>
            <w:tcBorders>
              <w:top w:val="dotted" w:sz="4" w:space="0" w:color="auto"/>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367</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274</w:t>
            </w:r>
          </w:p>
        </w:tc>
        <w:tc>
          <w:tcPr>
            <w:tcW w:w="851"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336</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287</w:t>
            </w:r>
          </w:p>
        </w:tc>
        <w:tc>
          <w:tcPr>
            <w:tcW w:w="992" w:type="dxa"/>
            <w:tcBorders>
              <w:top w:val="dotted" w:sz="4" w:space="0" w:color="auto"/>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217</w:t>
            </w:r>
          </w:p>
        </w:tc>
      </w:tr>
      <w:tr w:rsidR="007C50D0" w:rsidRPr="007C50D0" w:rsidTr="00091D3C">
        <w:trPr>
          <w:trHeight w:val="257"/>
        </w:trPr>
        <w:tc>
          <w:tcPr>
            <w:tcW w:w="4536" w:type="dxa"/>
            <w:tcBorders>
              <w:top w:val="dotted" w:sz="4" w:space="0" w:color="auto"/>
              <w:left w:val="double" w:sz="4" w:space="0" w:color="auto"/>
              <w:bottom w:val="dotted" w:sz="4" w:space="0" w:color="auto"/>
              <w:right w:val="double" w:sz="4" w:space="0" w:color="auto"/>
            </w:tcBorders>
            <w:shd w:val="clear" w:color="auto" w:fill="auto"/>
            <w:noWrap/>
            <w:vAlign w:val="center"/>
          </w:tcPr>
          <w:p w:rsidR="007C50D0" w:rsidRPr="007C50D0" w:rsidRDefault="007C50D0" w:rsidP="008619A6">
            <w:pPr>
              <w:contextualSpacing/>
              <w:rPr>
                <w:sz w:val="24"/>
                <w:szCs w:val="24"/>
              </w:rPr>
            </w:pPr>
            <w:r w:rsidRPr="007C50D0">
              <w:rPr>
                <w:sz w:val="24"/>
                <w:szCs w:val="24"/>
              </w:rPr>
              <w:t>в семье с одним родителем</w:t>
            </w:r>
          </w:p>
        </w:tc>
        <w:tc>
          <w:tcPr>
            <w:tcW w:w="993" w:type="dxa"/>
            <w:tcBorders>
              <w:top w:val="dotted" w:sz="4" w:space="0" w:color="auto"/>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267</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220</w:t>
            </w:r>
          </w:p>
        </w:tc>
        <w:tc>
          <w:tcPr>
            <w:tcW w:w="851"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242</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236</w:t>
            </w:r>
          </w:p>
        </w:tc>
        <w:tc>
          <w:tcPr>
            <w:tcW w:w="992" w:type="dxa"/>
            <w:tcBorders>
              <w:top w:val="dotted" w:sz="4" w:space="0" w:color="auto"/>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185</w:t>
            </w:r>
          </w:p>
        </w:tc>
      </w:tr>
      <w:tr w:rsidR="007C50D0" w:rsidRPr="007C50D0" w:rsidTr="00091D3C">
        <w:trPr>
          <w:trHeight w:val="363"/>
        </w:trPr>
        <w:tc>
          <w:tcPr>
            <w:tcW w:w="4536" w:type="dxa"/>
            <w:tcBorders>
              <w:top w:val="dotted" w:sz="4" w:space="0" w:color="auto"/>
              <w:left w:val="double" w:sz="4" w:space="0" w:color="auto"/>
              <w:bottom w:val="single" w:sz="4" w:space="0" w:color="auto"/>
              <w:right w:val="double" w:sz="4" w:space="0" w:color="auto"/>
            </w:tcBorders>
            <w:shd w:val="clear" w:color="auto" w:fill="auto"/>
            <w:noWrap/>
            <w:vAlign w:val="center"/>
          </w:tcPr>
          <w:p w:rsidR="007C50D0" w:rsidRPr="007C50D0" w:rsidRDefault="007C50D0" w:rsidP="008619A6">
            <w:pPr>
              <w:contextualSpacing/>
              <w:rPr>
                <w:sz w:val="24"/>
                <w:szCs w:val="24"/>
              </w:rPr>
            </w:pPr>
            <w:r w:rsidRPr="007C50D0">
              <w:rPr>
                <w:sz w:val="24"/>
                <w:szCs w:val="24"/>
              </w:rPr>
              <w:t xml:space="preserve">вне семьи  (детском </w:t>
            </w:r>
            <w:proofErr w:type="gramStart"/>
            <w:r w:rsidRPr="007C50D0">
              <w:rPr>
                <w:sz w:val="24"/>
                <w:szCs w:val="24"/>
              </w:rPr>
              <w:t>доме</w:t>
            </w:r>
            <w:proofErr w:type="gramEnd"/>
            <w:r w:rsidRPr="007C50D0">
              <w:rPr>
                <w:sz w:val="24"/>
                <w:szCs w:val="24"/>
              </w:rPr>
              <w:t>, интернате и т.д.)</w:t>
            </w:r>
          </w:p>
        </w:tc>
        <w:tc>
          <w:tcPr>
            <w:tcW w:w="993" w:type="dxa"/>
            <w:tcBorders>
              <w:top w:val="dotted" w:sz="4" w:space="0" w:color="auto"/>
              <w:left w:val="double" w:sz="4" w:space="0" w:color="auto"/>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43</w:t>
            </w:r>
          </w:p>
        </w:tc>
        <w:tc>
          <w:tcPr>
            <w:tcW w:w="850" w:type="dxa"/>
            <w:tcBorders>
              <w:top w:val="dotted" w:sz="4" w:space="0" w:color="auto"/>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30</w:t>
            </w:r>
          </w:p>
        </w:tc>
        <w:tc>
          <w:tcPr>
            <w:tcW w:w="851" w:type="dxa"/>
            <w:tcBorders>
              <w:top w:val="dotted" w:sz="4" w:space="0" w:color="auto"/>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38</w:t>
            </w:r>
          </w:p>
        </w:tc>
        <w:tc>
          <w:tcPr>
            <w:tcW w:w="850" w:type="dxa"/>
            <w:tcBorders>
              <w:top w:val="dotted" w:sz="4" w:space="0" w:color="auto"/>
              <w:left w:val="nil"/>
              <w:bottom w:val="sing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27</w:t>
            </w:r>
          </w:p>
        </w:tc>
        <w:tc>
          <w:tcPr>
            <w:tcW w:w="992" w:type="dxa"/>
            <w:tcBorders>
              <w:top w:val="dotted" w:sz="4" w:space="0" w:color="auto"/>
              <w:left w:val="nil"/>
              <w:bottom w:val="single"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20</w:t>
            </w:r>
          </w:p>
        </w:tc>
      </w:tr>
      <w:tr w:rsidR="007C50D0" w:rsidRPr="007C50D0" w:rsidTr="00091D3C">
        <w:trPr>
          <w:trHeight w:val="257"/>
        </w:trPr>
        <w:tc>
          <w:tcPr>
            <w:tcW w:w="4536" w:type="dxa"/>
            <w:tcBorders>
              <w:top w:val="nil"/>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rPr>
                <w:b/>
                <w:sz w:val="24"/>
                <w:szCs w:val="24"/>
              </w:rPr>
            </w:pPr>
            <w:r w:rsidRPr="007C50D0">
              <w:rPr>
                <w:b/>
                <w:sz w:val="24"/>
                <w:szCs w:val="24"/>
              </w:rPr>
              <w:t>Совершили преступление:</w:t>
            </w:r>
          </w:p>
        </w:tc>
        <w:tc>
          <w:tcPr>
            <w:tcW w:w="993" w:type="dxa"/>
            <w:tcBorders>
              <w:top w:val="nil"/>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850" w:type="dxa"/>
            <w:tcBorders>
              <w:top w:val="nil"/>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851" w:type="dxa"/>
            <w:tcBorders>
              <w:top w:val="nil"/>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850" w:type="dxa"/>
            <w:tcBorders>
              <w:top w:val="nil"/>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992" w:type="dxa"/>
            <w:tcBorders>
              <w:top w:val="nil"/>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r>
      <w:tr w:rsidR="007C50D0" w:rsidRPr="007C50D0" w:rsidTr="00091D3C">
        <w:trPr>
          <w:trHeight w:val="292"/>
        </w:trPr>
        <w:tc>
          <w:tcPr>
            <w:tcW w:w="4536" w:type="dxa"/>
            <w:tcBorders>
              <w:top w:val="dotted"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rPr>
                <w:sz w:val="24"/>
                <w:szCs w:val="24"/>
              </w:rPr>
            </w:pPr>
            <w:r w:rsidRPr="007C50D0">
              <w:rPr>
                <w:sz w:val="24"/>
                <w:szCs w:val="24"/>
              </w:rPr>
              <w:t>в группе</w:t>
            </w:r>
          </w:p>
        </w:tc>
        <w:tc>
          <w:tcPr>
            <w:tcW w:w="993" w:type="dxa"/>
            <w:tcBorders>
              <w:top w:val="dotted" w:sz="4" w:space="0" w:color="auto"/>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293</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207</w:t>
            </w:r>
          </w:p>
        </w:tc>
        <w:tc>
          <w:tcPr>
            <w:tcW w:w="851"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243</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258</w:t>
            </w:r>
          </w:p>
        </w:tc>
        <w:tc>
          <w:tcPr>
            <w:tcW w:w="992" w:type="dxa"/>
            <w:tcBorders>
              <w:top w:val="dotted" w:sz="4" w:space="0" w:color="auto"/>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208</w:t>
            </w:r>
          </w:p>
        </w:tc>
      </w:tr>
      <w:tr w:rsidR="007C50D0" w:rsidRPr="007C50D0" w:rsidTr="00091D3C">
        <w:trPr>
          <w:trHeight w:val="257"/>
        </w:trPr>
        <w:tc>
          <w:tcPr>
            <w:tcW w:w="4536" w:type="dxa"/>
            <w:tcBorders>
              <w:top w:val="dotted" w:sz="4" w:space="0" w:color="auto"/>
              <w:left w:val="double" w:sz="4" w:space="0" w:color="auto"/>
              <w:bottom w:val="dotted" w:sz="4" w:space="0" w:color="auto"/>
              <w:right w:val="double" w:sz="4" w:space="0" w:color="auto"/>
            </w:tcBorders>
            <w:shd w:val="clear" w:color="auto" w:fill="auto"/>
            <w:noWrap/>
            <w:vAlign w:val="center"/>
          </w:tcPr>
          <w:p w:rsidR="007C50D0" w:rsidRPr="007C50D0" w:rsidRDefault="007C50D0" w:rsidP="008619A6">
            <w:pPr>
              <w:contextualSpacing/>
              <w:rPr>
                <w:sz w:val="24"/>
                <w:szCs w:val="24"/>
              </w:rPr>
            </w:pPr>
            <w:r w:rsidRPr="007C50D0">
              <w:rPr>
                <w:sz w:val="24"/>
                <w:szCs w:val="24"/>
              </w:rPr>
              <w:t>в том числе с участием взрослых</w:t>
            </w:r>
          </w:p>
        </w:tc>
        <w:tc>
          <w:tcPr>
            <w:tcW w:w="993" w:type="dxa"/>
            <w:tcBorders>
              <w:top w:val="dotted" w:sz="4" w:space="0" w:color="auto"/>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123</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97</w:t>
            </w:r>
          </w:p>
        </w:tc>
        <w:tc>
          <w:tcPr>
            <w:tcW w:w="851"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110</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116</w:t>
            </w:r>
          </w:p>
        </w:tc>
        <w:tc>
          <w:tcPr>
            <w:tcW w:w="992" w:type="dxa"/>
            <w:tcBorders>
              <w:top w:val="dotted" w:sz="4" w:space="0" w:color="auto"/>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96</w:t>
            </w:r>
          </w:p>
        </w:tc>
      </w:tr>
      <w:tr w:rsidR="007C50D0" w:rsidRPr="007C50D0" w:rsidTr="00091D3C">
        <w:trPr>
          <w:trHeight w:val="272"/>
        </w:trPr>
        <w:tc>
          <w:tcPr>
            <w:tcW w:w="4536" w:type="dxa"/>
            <w:tcBorders>
              <w:top w:val="dotted" w:sz="4" w:space="0" w:color="auto"/>
              <w:left w:val="double" w:sz="4" w:space="0" w:color="auto"/>
              <w:bottom w:val="dotted" w:sz="4" w:space="0" w:color="auto"/>
              <w:right w:val="double" w:sz="4" w:space="0" w:color="auto"/>
            </w:tcBorders>
            <w:shd w:val="clear" w:color="auto" w:fill="auto"/>
            <w:noWrap/>
            <w:vAlign w:val="center"/>
          </w:tcPr>
          <w:p w:rsidR="007C50D0" w:rsidRPr="007C50D0" w:rsidRDefault="007C50D0" w:rsidP="008619A6">
            <w:pPr>
              <w:contextualSpacing/>
              <w:rPr>
                <w:sz w:val="24"/>
                <w:szCs w:val="24"/>
              </w:rPr>
            </w:pPr>
            <w:r w:rsidRPr="007C50D0">
              <w:rPr>
                <w:sz w:val="24"/>
                <w:szCs w:val="24"/>
              </w:rPr>
              <w:t>в состоянии опьянения</w:t>
            </w:r>
          </w:p>
        </w:tc>
        <w:tc>
          <w:tcPr>
            <w:tcW w:w="993" w:type="dxa"/>
            <w:tcBorders>
              <w:top w:val="dotted" w:sz="4" w:space="0" w:color="auto"/>
              <w:left w:val="double" w:sz="4" w:space="0" w:color="auto"/>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76</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51</w:t>
            </w:r>
          </w:p>
        </w:tc>
        <w:tc>
          <w:tcPr>
            <w:tcW w:w="851"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58</w:t>
            </w:r>
          </w:p>
        </w:tc>
        <w:tc>
          <w:tcPr>
            <w:tcW w:w="850" w:type="dxa"/>
            <w:tcBorders>
              <w:top w:val="dotted" w:sz="4" w:space="0" w:color="auto"/>
              <w:left w:val="nil"/>
              <w:bottom w:val="dotted"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53</w:t>
            </w:r>
          </w:p>
        </w:tc>
        <w:tc>
          <w:tcPr>
            <w:tcW w:w="992" w:type="dxa"/>
            <w:tcBorders>
              <w:top w:val="dotted" w:sz="4" w:space="0" w:color="auto"/>
              <w:left w:val="nil"/>
              <w:bottom w:val="dotted"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53</w:t>
            </w:r>
          </w:p>
        </w:tc>
      </w:tr>
      <w:tr w:rsidR="007C50D0" w:rsidRPr="007C50D0" w:rsidTr="00091D3C">
        <w:trPr>
          <w:trHeight w:val="439"/>
        </w:trPr>
        <w:tc>
          <w:tcPr>
            <w:tcW w:w="4536" w:type="dxa"/>
            <w:tcBorders>
              <w:top w:val="dotted" w:sz="4" w:space="0" w:color="auto"/>
              <w:left w:val="double" w:sz="4" w:space="0" w:color="auto"/>
              <w:bottom w:val="double" w:sz="4" w:space="0" w:color="auto"/>
              <w:right w:val="double" w:sz="4" w:space="0" w:color="auto"/>
            </w:tcBorders>
            <w:shd w:val="clear" w:color="auto" w:fill="auto"/>
            <w:noWrap/>
            <w:vAlign w:val="center"/>
          </w:tcPr>
          <w:p w:rsidR="007C50D0" w:rsidRPr="007C50D0" w:rsidRDefault="007C50D0" w:rsidP="008619A6">
            <w:pPr>
              <w:contextualSpacing/>
              <w:rPr>
                <w:sz w:val="24"/>
                <w:szCs w:val="24"/>
              </w:rPr>
            </w:pPr>
            <w:r w:rsidRPr="007C50D0">
              <w:rPr>
                <w:sz w:val="24"/>
                <w:szCs w:val="24"/>
              </w:rPr>
              <w:t>в том числе наркотического или иного (не алкогольного)</w:t>
            </w:r>
          </w:p>
        </w:tc>
        <w:tc>
          <w:tcPr>
            <w:tcW w:w="993" w:type="dxa"/>
            <w:tcBorders>
              <w:top w:val="dotted" w:sz="4" w:space="0" w:color="auto"/>
              <w:left w:val="double" w:sz="4" w:space="0" w:color="auto"/>
              <w:bottom w:val="doub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w:t>
            </w:r>
          </w:p>
        </w:tc>
        <w:tc>
          <w:tcPr>
            <w:tcW w:w="850" w:type="dxa"/>
            <w:tcBorders>
              <w:top w:val="dotted" w:sz="4" w:space="0" w:color="auto"/>
              <w:left w:val="nil"/>
              <w:bottom w:val="doub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w:t>
            </w:r>
          </w:p>
        </w:tc>
        <w:tc>
          <w:tcPr>
            <w:tcW w:w="851" w:type="dxa"/>
            <w:tcBorders>
              <w:top w:val="dotted" w:sz="4" w:space="0" w:color="auto"/>
              <w:left w:val="nil"/>
              <w:bottom w:val="doub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9</w:t>
            </w:r>
          </w:p>
        </w:tc>
        <w:tc>
          <w:tcPr>
            <w:tcW w:w="850" w:type="dxa"/>
            <w:tcBorders>
              <w:top w:val="dotted" w:sz="4" w:space="0" w:color="auto"/>
              <w:left w:val="nil"/>
              <w:bottom w:val="double" w:sz="4" w:space="0" w:color="auto"/>
              <w:right w:val="sing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5</w:t>
            </w:r>
          </w:p>
        </w:tc>
        <w:tc>
          <w:tcPr>
            <w:tcW w:w="992" w:type="dxa"/>
            <w:tcBorders>
              <w:top w:val="dotted" w:sz="4" w:space="0" w:color="auto"/>
              <w:left w:val="nil"/>
              <w:bottom w:val="double" w:sz="4" w:space="0" w:color="auto"/>
              <w:right w:val="double" w:sz="4" w:space="0" w:color="auto"/>
            </w:tcBorders>
            <w:shd w:val="clear" w:color="auto" w:fill="auto"/>
            <w:noWrap/>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w:t>
            </w:r>
          </w:p>
        </w:tc>
      </w:tr>
    </w:tbl>
    <w:p w:rsidR="007C50D0" w:rsidRPr="007C50D0" w:rsidRDefault="007C50D0" w:rsidP="008619A6">
      <w:pPr>
        <w:ind w:firstLine="680"/>
        <w:contextualSpacing/>
        <w:jc w:val="both"/>
        <w:rPr>
          <w:sz w:val="28"/>
          <w:szCs w:val="28"/>
        </w:rPr>
      </w:pPr>
      <w:r w:rsidRPr="007C50D0">
        <w:rPr>
          <w:sz w:val="28"/>
          <w:szCs w:val="28"/>
        </w:rPr>
        <w:t>Наибольшее количество несовершеннолетних преступников было приговорено, как и в прошлом отчетном периоде, к следующим мерам наказания:</w:t>
      </w:r>
    </w:p>
    <w:p w:rsidR="007C50D0" w:rsidRPr="00091D3C" w:rsidRDefault="007C50D0" w:rsidP="00335DC8">
      <w:pPr>
        <w:pStyle w:val="ab"/>
        <w:numPr>
          <w:ilvl w:val="0"/>
          <w:numId w:val="19"/>
        </w:numPr>
        <w:ind w:left="426" w:hanging="426"/>
        <w:jc w:val="both"/>
        <w:rPr>
          <w:sz w:val="28"/>
          <w:szCs w:val="28"/>
        </w:rPr>
      </w:pPr>
      <w:r w:rsidRPr="00091D3C">
        <w:rPr>
          <w:sz w:val="28"/>
          <w:szCs w:val="28"/>
        </w:rPr>
        <w:t>условное осуждение к лишению свободы – 183 лица, или 43,4% от общего числа несовершеннолетних осужденных, что на 16% меньше, чем в 2016 году;</w:t>
      </w:r>
    </w:p>
    <w:p w:rsidR="007C50D0" w:rsidRPr="00091D3C" w:rsidRDefault="007C50D0" w:rsidP="00335DC8">
      <w:pPr>
        <w:pStyle w:val="ab"/>
        <w:numPr>
          <w:ilvl w:val="0"/>
          <w:numId w:val="19"/>
        </w:numPr>
        <w:ind w:left="426" w:hanging="426"/>
        <w:jc w:val="both"/>
        <w:rPr>
          <w:sz w:val="28"/>
          <w:szCs w:val="28"/>
        </w:rPr>
      </w:pPr>
      <w:r w:rsidRPr="00091D3C">
        <w:rPr>
          <w:sz w:val="28"/>
          <w:szCs w:val="28"/>
        </w:rPr>
        <w:t>лишение свободы на определенный срок – 72 лица, или 17,1% от общего числа несовершеннолетних осужденных, что на 6,5% меньше, чем в 2016 году.</w:t>
      </w:r>
    </w:p>
    <w:p w:rsidR="007C50D0" w:rsidRPr="00091D3C" w:rsidRDefault="007C50D0" w:rsidP="00335DC8">
      <w:pPr>
        <w:pStyle w:val="ab"/>
        <w:numPr>
          <w:ilvl w:val="0"/>
          <w:numId w:val="19"/>
        </w:numPr>
        <w:ind w:left="426" w:hanging="426"/>
        <w:jc w:val="both"/>
        <w:rPr>
          <w:sz w:val="28"/>
          <w:szCs w:val="28"/>
        </w:rPr>
      </w:pPr>
      <w:r w:rsidRPr="00091D3C">
        <w:rPr>
          <w:sz w:val="28"/>
          <w:szCs w:val="28"/>
        </w:rPr>
        <w:lastRenderedPageBreak/>
        <w:t>В 2017 году дела в отношении 4,3% несовершеннолетних рассматривались в особом порядке судебного разбирательства. По сравнению с прошлым отчетным периодом количество таких лиц увеличилось на 27,8%.</w:t>
      </w:r>
    </w:p>
    <w:p w:rsidR="007C50D0" w:rsidRPr="007C50D0" w:rsidRDefault="007C50D0" w:rsidP="008619A6">
      <w:pPr>
        <w:ind w:firstLine="680"/>
        <w:contextualSpacing/>
        <w:jc w:val="both"/>
        <w:rPr>
          <w:sz w:val="28"/>
          <w:szCs w:val="28"/>
        </w:rPr>
      </w:pPr>
      <w:r w:rsidRPr="007C50D0">
        <w:rPr>
          <w:sz w:val="28"/>
          <w:szCs w:val="28"/>
        </w:rPr>
        <w:t>Данные таблицы 38 отражают сложившиеся за последние пять лет тенденции.</w:t>
      </w:r>
    </w:p>
    <w:p w:rsidR="007C50D0" w:rsidRPr="007C50D0" w:rsidRDefault="00091D3C" w:rsidP="00091D3C">
      <w:pPr>
        <w:contextualSpacing/>
        <w:jc w:val="center"/>
        <w:rPr>
          <w:sz w:val="24"/>
          <w:szCs w:val="24"/>
        </w:rPr>
      </w:pPr>
      <w:r>
        <w:rPr>
          <w:sz w:val="24"/>
          <w:szCs w:val="24"/>
        </w:rPr>
        <w:t xml:space="preserve">                                                                                                                    </w:t>
      </w:r>
      <w:r w:rsidR="007C50D0" w:rsidRPr="007C50D0">
        <w:rPr>
          <w:sz w:val="24"/>
          <w:szCs w:val="24"/>
        </w:rPr>
        <w:t xml:space="preserve">Таблица </w:t>
      </w:r>
      <w:r w:rsidR="00E45BEB">
        <w:rPr>
          <w:sz w:val="24"/>
          <w:szCs w:val="24"/>
        </w:rPr>
        <w:t>50</w:t>
      </w:r>
    </w:p>
    <w:tbl>
      <w:tblPr>
        <w:tblW w:w="0" w:type="auto"/>
        <w:tblInd w:w="250" w:type="dxa"/>
        <w:tblLayout w:type="fixed"/>
        <w:tblLook w:val="0000" w:firstRow="0" w:lastRow="0" w:firstColumn="0" w:lastColumn="0" w:noHBand="0" w:noVBand="0"/>
      </w:tblPr>
      <w:tblGrid>
        <w:gridCol w:w="3827"/>
        <w:gridCol w:w="1134"/>
        <w:gridCol w:w="992"/>
        <w:gridCol w:w="992"/>
        <w:gridCol w:w="992"/>
        <w:gridCol w:w="1134"/>
      </w:tblGrid>
      <w:tr w:rsidR="007C50D0" w:rsidRPr="007C50D0" w:rsidTr="00091D3C">
        <w:trPr>
          <w:trHeight w:val="555"/>
        </w:trPr>
        <w:tc>
          <w:tcPr>
            <w:tcW w:w="9071" w:type="dxa"/>
            <w:gridSpan w:val="6"/>
            <w:tcBorders>
              <w:top w:val="double" w:sz="4" w:space="0" w:color="auto"/>
              <w:left w:val="double" w:sz="4" w:space="0" w:color="auto"/>
              <w:bottom w:val="single" w:sz="8" w:space="0" w:color="auto"/>
              <w:right w:val="double" w:sz="4" w:space="0" w:color="auto"/>
            </w:tcBorders>
            <w:shd w:val="clear" w:color="auto" w:fill="auto"/>
            <w:vAlign w:val="center"/>
          </w:tcPr>
          <w:p w:rsidR="007C50D0" w:rsidRPr="007C50D0" w:rsidRDefault="007C50D0" w:rsidP="008619A6">
            <w:pPr>
              <w:contextualSpacing/>
              <w:jc w:val="center"/>
              <w:rPr>
                <w:b/>
                <w:bCs/>
                <w:sz w:val="24"/>
                <w:szCs w:val="24"/>
              </w:rPr>
            </w:pPr>
            <w:r w:rsidRPr="007C50D0">
              <w:rPr>
                <w:b/>
                <w:bCs/>
                <w:sz w:val="24"/>
                <w:szCs w:val="24"/>
              </w:rPr>
              <w:t>Меры наказания, примененные к осужденным</w:t>
            </w:r>
          </w:p>
          <w:p w:rsidR="007C50D0" w:rsidRPr="007C50D0" w:rsidRDefault="007C50D0" w:rsidP="008619A6">
            <w:pPr>
              <w:contextualSpacing/>
              <w:jc w:val="center"/>
              <w:rPr>
                <w:b/>
                <w:bCs/>
                <w:sz w:val="24"/>
                <w:szCs w:val="24"/>
              </w:rPr>
            </w:pPr>
            <w:r w:rsidRPr="007C50D0">
              <w:rPr>
                <w:b/>
                <w:bCs/>
                <w:sz w:val="24"/>
                <w:szCs w:val="24"/>
              </w:rPr>
              <w:t>несовершеннолетним</w:t>
            </w:r>
          </w:p>
        </w:tc>
      </w:tr>
      <w:tr w:rsidR="007C50D0" w:rsidRPr="007C50D0" w:rsidTr="00091D3C">
        <w:trPr>
          <w:trHeight w:val="315"/>
        </w:trPr>
        <w:tc>
          <w:tcPr>
            <w:tcW w:w="3827" w:type="dxa"/>
            <w:tcBorders>
              <w:top w:val="nil"/>
              <w:left w:val="double" w:sz="4" w:space="0" w:color="auto"/>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sz w:val="28"/>
                <w:szCs w:val="28"/>
              </w:rPr>
            </w:pPr>
          </w:p>
        </w:tc>
        <w:tc>
          <w:tcPr>
            <w:tcW w:w="1134" w:type="dxa"/>
            <w:tcBorders>
              <w:top w:val="single" w:sz="8" w:space="0" w:color="auto"/>
              <w:left w:val="double" w:sz="4" w:space="0" w:color="auto"/>
              <w:bottom w:val="thickThinLargeGap" w:sz="24" w:space="0" w:color="auto"/>
              <w:right w:val="single" w:sz="8" w:space="0" w:color="auto"/>
            </w:tcBorders>
            <w:shd w:val="clear" w:color="auto" w:fill="auto"/>
            <w:vAlign w:val="center"/>
          </w:tcPr>
          <w:p w:rsidR="007C50D0" w:rsidRPr="007C50D0" w:rsidRDefault="007C50D0" w:rsidP="008619A6">
            <w:pPr>
              <w:contextualSpacing/>
              <w:jc w:val="center"/>
              <w:rPr>
                <w:b/>
                <w:bCs/>
                <w:color w:val="000000"/>
                <w:sz w:val="24"/>
                <w:szCs w:val="24"/>
              </w:rPr>
            </w:pPr>
            <w:r w:rsidRPr="007C50D0">
              <w:rPr>
                <w:b/>
                <w:bCs/>
                <w:color w:val="000000"/>
              </w:rPr>
              <w:t>2013</w:t>
            </w:r>
          </w:p>
        </w:tc>
        <w:tc>
          <w:tcPr>
            <w:tcW w:w="992" w:type="dxa"/>
            <w:tcBorders>
              <w:top w:val="single" w:sz="8" w:space="0" w:color="auto"/>
              <w:left w:val="nil"/>
              <w:bottom w:val="thickThinLargeGap" w:sz="24" w:space="0" w:color="auto"/>
              <w:right w:val="single" w:sz="8" w:space="0" w:color="auto"/>
            </w:tcBorders>
            <w:shd w:val="clear" w:color="auto" w:fill="auto"/>
            <w:vAlign w:val="center"/>
          </w:tcPr>
          <w:p w:rsidR="007C50D0" w:rsidRPr="007C50D0" w:rsidRDefault="007C50D0" w:rsidP="008619A6">
            <w:pPr>
              <w:contextualSpacing/>
              <w:jc w:val="center"/>
              <w:rPr>
                <w:b/>
                <w:bCs/>
                <w:color w:val="000000"/>
                <w:sz w:val="24"/>
                <w:szCs w:val="24"/>
              </w:rPr>
            </w:pPr>
            <w:r w:rsidRPr="007C50D0">
              <w:rPr>
                <w:b/>
                <w:bCs/>
                <w:color w:val="000000"/>
              </w:rPr>
              <w:t>2014</w:t>
            </w:r>
          </w:p>
        </w:tc>
        <w:tc>
          <w:tcPr>
            <w:tcW w:w="992" w:type="dxa"/>
            <w:tcBorders>
              <w:top w:val="single" w:sz="8" w:space="0" w:color="auto"/>
              <w:left w:val="nil"/>
              <w:bottom w:val="thickThinLargeGap" w:sz="24" w:space="0" w:color="auto"/>
              <w:right w:val="single" w:sz="8" w:space="0" w:color="auto"/>
            </w:tcBorders>
            <w:shd w:val="clear" w:color="auto" w:fill="auto"/>
            <w:vAlign w:val="center"/>
          </w:tcPr>
          <w:p w:rsidR="007C50D0" w:rsidRPr="007C50D0" w:rsidRDefault="007C50D0" w:rsidP="008619A6">
            <w:pPr>
              <w:contextualSpacing/>
              <w:jc w:val="center"/>
              <w:rPr>
                <w:b/>
                <w:bCs/>
                <w:color w:val="000000"/>
                <w:sz w:val="24"/>
                <w:szCs w:val="24"/>
              </w:rPr>
            </w:pPr>
            <w:r w:rsidRPr="007C50D0">
              <w:rPr>
                <w:b/>
                <w:bCs/>
                <w:color w:val="000000"/>
              </w:rPr>
              <w:t>2015</w:t>
            </w:r>
          </w:p>
        </w:tc>
        <w:tc>
          <w:tcPr>
            <w:tcW w:w="992" w:type="dxa"/>
            <w:tcBorders>
              <w:top w:val="single" w:sz="8" w:space="0" w:color="auto"/>
              <w:left w:val="nil"/>
              <w:bottom w:val="thickThinLargeGap" w:sz="24" w:space="0" w:color="auto"/>
              <w:right w:val="single" w:sz="8" w:space="0" w:color="auto"/>
            </w:tcBorders>
            <w:shd w:val="clear" w:color="auto" w:fill="auto"/>
            <w:vAlign w:val="center"/>
          </w:tcPr>
          <w:p w:rsidR="007C50D0" w:rsidRPr="007C50D0" w:rsidRDefault="007C50D0" w:rsidP="008619A6">
            <w:pPr>
              <w:contextualSpacing/>
              <w:jc w:val="center"/>
              <w:rPr>
                <w:b/>
                <w:bCs/>
                <w:color w:val="000000"/>
                <w:sz w:val="24"/>
                <w:szCs w:val="24"/>
              </w:rPr>
            </w:pPr>
            <w:r w:rsidRPr="007C50D0">
              <w:rPr>
                <w:b/>
                <w:bCs/>
                <w:color w:val="000000"/>
              </w:rPr>
              <w:t>2016</w:t>
            </w:r>
          </w:p>
        </w:tc>
        <w:tc>
          <w:tcPr>
            <w:tcW w:w="1134" w:type="dxa"/>
            <w:tcBorders>
              <w:top w:val="single" w:sz="8" w:space="0" w:color="auto"/>
              <w:left w:val="nil"/>
              <w:bottom w:val="thickThinLargeGap" w:sz="24" w:space="0" w:color="auto"/>
              <w:right w:val="double" w:sz="4" w:space="0" w:color="auto"/>
            </w:tcBorders>
            <w:shd w:val="clear" w:color="auto" w:fill="auto"/>
            <w:vAlign w:val="center"/>
          </w:tcPr>
          <w:p w:rsidR="007C50D0" w:rsidRPr="007C50D0" w:rsidRDefault="007C50D0" w:rsidP="008619A6">
            <w:pPr>
              <w:contextualSpacing/>
              <w:jc w:val="center"/>
              <w:rPr>
                <w:b/>
                <w:bCs/>
                <w:color w:val="000000"/>
                <w:sz w:val="24"/>
                <w:szCs w:val="24"/>
              </w:rPr>
            </w:pPr>
            <w:r w:rsidRPr="007C50D0">
              <w:rPr>
                <w:b/>
                <w:bCs/>
                <w:color w:val="000000"/>
              </w:rPr>
              <w:t>2017</w:t>
            </w:r>
          </w:p>
        </w:tc>
      </w:tr>
      <w:tr w:rsidR="007C50D0" w:rsidRPr="007C50D0" w:rsidTr="00091D3C">
        <w:trPr>
          <w:trHeight w:val="255"/>
        </w:trPr>
        <w:tc>
          <w:tcPr>
            <w:tcW w:w="3827" w:type="dxa"/>
            <w:tcBorders>
              <w:top w:val="thickThinLargeGap" w:sz="2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Всего осуждено</w:t>
            </w:r>
          </w:p>
        </w:tc>
        <w:tc>
          <w:tcPr>
            <w:tcW w:w="1134" w:type="dxa"/>
            <w:tcBorders>
              <w:top w:val="thickThinLargeGap" w:sz="2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16601</w:t>
            </w:r>
          </w:p>
        </w:tc>
        <w:tc>
          <w:tcPr>
            <w:tcW w:w="992" w:type="dxa"/>
            <w:tcBorders>
              <w:top w:val="thickThinLargeGap" w:sz="24" w:space="0" w:color="auto"/>
              <w:left w:val="nil"/>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15373</w:t>
            </w:r>
          </w:p>
        </w:tc>
        <w:tc>
          <w:tcPr>
            <w:tcW w:w="992" w:type="dxa"/>
            <w:tcBorders>
              <w:top w:val="thickThinLargeGap" w:sz="24" w:space="0" w:color="auto"/>
              <w:left w:val="nil"/>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16278</w:t>
            </w:r>
          </w:p>
        </w:tc>
        <w:tc>
          <w:tcPr>
            <w:tcW w:w="992" w:type="dxa"/>
            <w:tcBorders>
              <w:top w:val="thickThinLargeGap" w:sz="24" w:space="0" w:color="auto"/>
              <w:left w:val="nil"/>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15074</w:t>
            </w:r>
          </w:p>
        </w:tc>
        <w:tc>
          <w:tcPr>
            <w:tcW w:w="1134" w:type="dxa"/>
            <w:tcBorders>
              <w:top w:val="thickThinLargeGap" w:sz="24" w:space="0" w:color="auto"/>
              <w:left w:val="nil"/>
              <w:bottom w:val="single" w:sz="4" w:space="0" w:color="auto"/>
              <w:right w:val="doub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16492</w:t>
            </w:r>
          </w:p>
        </w:tc>
      </w:tr>
      <w:tr w:rsidR="007C50D0" w:rsidRPr="007C50D0" w:rsidTr="00091D3C">
        <w:trPr>
          <w:trHeight w:val="510"/>
        </w:trPr>
        <w:tc>
          <w:tcPr>
            <w:tcW w:w="3827" w:type="dxa"/>
            <w:tcBorders>
              <w:top w:val="single"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b/>
                <w:iCs/>
                <w:sz w:val="24"/>
                <w:szCs w:val="24"/>
              </w:rPr>
            </w:pPr>
            <w:r w:rsidRPr="007C50D0">
              <w:rPr>
                <w:b/>
                <w:iCs/>
                <w:sz w:val="24"/>
                <w:szCs w:val="24"/>
              </w:rPr>
              <w:t>Кол-во осужденных несовершеннолетних</w:t>
            </w:r>
          </w:p>
        </w:tc>
        <w:tc>
          <w:tcPr>
            <w:tcW w:w="1134" w:type="dxa"/>
            <w:tcBorders>
              <w:top w:val="single" w:sz="4" w:space="0" w:color="auto"/>
              <w:left w:val="double" w:sz="4" w:space="0" w:color="auto"/>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677</w:t>
            </w:r>
          </w:p>
        </w:tc>
        <w:tc>
          <w:tcPr>
            <w:tcW w:w="992" w:type="dxa"/>
            <w:tcBorders>
              <w:top w:val="single" w:sz="4" w:space="0" w:color="auto"/>
              <w:left w:val="nil"/>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524</w:t>
            </w:r>
          </w:p>
        </w:tc>
        <w:tc>
          <w:tcPr>
            <w:tcW w:w="992" w:type="dxa"/>
            <w:tcBorders>
              <w:top w:val="single" w:sz="4" w:space="0" w:color="auto"/>
              <w:left w:val="nil"/>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616</w:t>
            </w:r>
          </w:p>
        </w:tc>
        <w:tc>
          <w:tcPr>
            <w:tcW w:w="992" w:type="dxa"/>
            <w:tcBorders>
              <w:top w:val="single" w:sz="4" w:space="0" w:color="auto"/>
              <w:left w:val="nil"/>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550</w:t>
            </w:r>
          </w:p>
        </w:tc>
        <w:tc>
          <w:tcPr>
            <w:tcW w:w="1134" w:type="dxa"/>
            <w:tcBorders>
              <w:top w:val="single" w:sz="4" w:space="0" w:color="auto"/>
              <w:left w:val="nil"/>
              <w:bottom w:val="dotted" w:sz="4" w:space="0" w:color="auto"/>
              <w:right w:val="doub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422</w:t>
            </w:r>
          </w:p>
        </w:tc>
      </w:tr>
      <w:tr w:rsidR="007C50D0" w:rsidRPr="007C50D0" w:rsidTr="00091D3C">
        <w:trPr>
          <w:trHeight w:val="330"/>
        </w:trPr>
        <w:tc>
          <w:tcPr>
            <w:tcW w:w="3827" w:type="dxa"/>
            <w:tcBorders>
              <w:top w:val="dotted"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w:t>
            </w:r>
          </w:p>
        </w:tc>
        <w:tc>
          <w:tcPr>
            <w:tcW w:w="1134" w:type="dxa"/>
            <w:tcBorders>
              <w:top w:val="dotted"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4,1</w:t>
            </w:r>
          </w:p>
        </w:tc>
        <w:tc>
          <w:tcPr>
            <w:tcW w:w="992" w:type="dxa"/>
            <w:tcBorders>
              <w:top w:val="dotted" w:sz="4" w:space="0" w:color="auto"/>
              <w:left w:val="nil"/>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3,4%</w:t>
            </w:r>
          </w:p>
        </w:tc>
        <w:tc>
          <w:tcPr>
            <w:tcW w:w="992" w:type="dxa"/>
            <w:tcBorders>
              <w:top w:val="dotted" w:sz="4" w:space="0" w:color="auto"/>
              <w:left w:val="nil"/>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3,8%</w:t>
            </w:r>
          </w:p>
        </w:tc>
        <w:tc>
          <w:tcPr>
            <w:tcW w:w="992" w:type="dxa"/>
            <w:tcBorders>
              <w:top w:val="dotted" w:sz="4" w:space="0" w:color="auto"/>
              <w:left w:val="nil"/>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3,7%</w:t>
            </w:r>
          </w:p>
        </w:tc>
        <w:tc>
          <w:tcPr>
            <w:tcW w:w="1134" w:type="dxa"/>
            <w:tcBorders>
              <w:top w:val="dotted" w:sz="4" w:space="0" w:color="auto"/>
              <w:left w:val="nil"/>
              <w:bottom w:val="single" w:sz="4" w:space="0" w:color="auto"/>
              <w:right w:val="doub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2,6%</w:t>
            </w:r>
          </w:p>
        </w:tc>
      </w:tr>
      <w:tr w:rsidR="007C50D0" w:rsidRPr="007C50D0" w:rsidTr="00091D3C">
        <w:trPr>
          <w:trHeight w:val="360"/>
        </w:trPr>
        <w:tc>
          <w:tcPr>
            <w:tcW w:w="3827" w:type="dxa"/>
            <w:tcBorders>
              <w:top w:val="single"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Из них к условной мере</w:t>
            </w:r>
          </w:p>
        </w:tc>
        <w:tc>
          <w:tcPr>
            <w:tcW w:w="1134" w:type="dxa"/>
            <w:tcBorders>
              <w:top w:val="single" w:sz="4" w:space="0" w:color="auto"/>
              <w:left w:val="double" w:sz="4" w:space="0" w:color="auto"/>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276</w:t>
            </w:r>
          </w:p>
        </w:tc>
        <w:tc>
          <w:tcPr>
            <w:tcW w:w="992" w:type="dxa"/>
            <w:tcBorders>
              <w:top w:val="single" w:sz="4" w:space="0" w:color="auto"/>
              <w:left w:val="nil"/>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227</w:t>
            </w:r>
          </w:p>
        </w:tc>
        <w:tc>
          <w:tcPr>
            <w:tcW w:w="992" w:type="dxa"/>
            <w:tcBorders>
              <w:top w:val="single" w:sz="4" w:space="0" w:color="auto"/>
              <w:left w:val="nil"/>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209</w:t>
            </w:r>
          </w:p>
        </w:tc>
        <w:tc>
          <w:tcPr>
            <w:tcW w:w="992" w:type="dxa"/>
            <w:tcBorders>
              <w:top w:val="single" w:sz="4" w:space="0" w:color="auto"/>
              <w:left w:val="nil"/>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218</w:t>
            </w:r>
          </w:p>
        </w:tc>
        <w:tc>
          <w:tcPr>
            <w:tcW w:w="1134" w:type="dxa"/>
            <w:tcBorders>
              <w:top w:val="single" w:sz="4" w:space="0" w:color="auto"/>
              <w:left w:val="nil"/>
              <w:bottom w:val="dotted" w:sz="4" w:space="0" w:color="auto"/>
              <w:right w:val="doub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183</w:t>
            </w:r>
          </w:p>
        </w:tc>
      </w:tr>
      <w:tr w:rsidR="007C50D0" w:rsidRPr="007C50D0" w:rsidTr="00091D3C">
        <w:trPr>
          <w:trHeight w:val="255"/>
        </w:trPr>
        <w:tc>
          <w:tcPr>
            <w:tcW w:w="3827" w:type="dxa"/>
            <w:tcBorders>
              <w:top w:val="dotted"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w:t>
            </w:r>
          </w:p>
        </w:tc>
        <w:tc>
          <w:tcPr>
            <w:tcW w:w="1134" w:type="dxa"/>
            <w:tcBorders>
              <w:top w:val="dotted"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40,3</w:t>
            </w:r>
          </w:p>
        </w:tc>
        <w:tc>
          <w:tcPr>
            <w:tcW w:w="992" w:type="dxa"/>
            <w:tcBorders>
              <w:top w:val="dotted" w:sz="4" w:space="0" w:color="auto"/>
              <w:left w:val="nil"/>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43,3%</w:t>
            </w:r>
          </w:p>
        </w:tc>
        <w:tc>
          <w:tcPr>
            <w:tcW w:w="992" w:type="dxa"/>
            <w:tcBorders>
              <w:top w:val="dotted" w:sz="4" w:space="0" w:color="auto"/>
              <w:left w:val="nil"/>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33,9%</w:t>
            </w:r>
          </w:p>
        </w:tc>
        <w:tc>
          <w:tcPr>
            <w:tcW w:w="992" w:type="dxa"/>
            <w:tcBorders>
              <w:top w:val="dotted" w:sz="4" w:space="0" w:color="auto"/>
              <w:left w:val="nil"/>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39,6%</w:t>
            </w:r>
          </w:p>
        </w:tc>
        <w:tc>
          <w:tcPr>
            <w:tcW w:w="1134" w:type="dxa"/>
            <w:tcBorders>
              <w:top w:val="dotted" w:sz="4" w:space="0" w:color="auto"/>
              <w:left w:val="nil"/>
              <w:bottom w:val="single" w:sz="4" w:space="0" w:color="auto"/>
              <w:right w:val="doub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43,4%</w:t>
            </w:r>
          </w:p>
        </w:tc>
      </w:tr>
      <w:tr w:rsidR="007C50D0" w:rsidRPr="007C50D0" w:rsidTr="00091D3C">
        <w:trPr>
          <w:trHeight w:val="300"/>
        </w:trPr>
        <w:tc>
          <w:tcPr>
            <w:tcW w:w="3827" w:type="dxa"/>
            <w:tcBorders>
              <w:top w:val="single"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Из них к лишению свободы</w:t>
            </w:r>
          </w:p>
        </w:tc>
        <w:tc>
          <w:tcPr>
            <w:tcW w:w="1134" w:type="dxa"/>
            <w:tcBorders>
              <w:top w:val="single" w:sz="4" w:space="0" w:color="auto"/>
              <w:left w:val="double" w:sz="4" w:space="0" w:color="auto"/>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100</w:t>
            </w:r>
          </w:p>
        </w:tc>
        <w:tc>
          <w:tcPr>
            <w:tcW w:w="992" w:type="dxa"/>
            <w:tcBorders>
              <w:top w:val="single" w:sz="4" w:space="0" w:color="auto"/>
              <w:left w:val="nil"/>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71</w:t>
            </w:r>
          </w:p>
        </w:tc>
        <w:tc>
          <w:tcPr>
            <w:tcW w:w="992" w:type="dxa"/>
            <w:tcBorders>
              <w:top w:val="single" w:sz="4" w:space="0" w:color="auto"/>
              <w:left w:val="nil"/>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80</w:t>
            </w:r>
          </w:p>
        </w:tc>
        <w:tc>
          <w:tcPr>
            <w:tcW w:w="992" w:type="dxa"/>
            <w:tcBorders>
              <w:top w:val="single" w:sz="4" w:space="0" w:color="auto"/>
              <w:left w:val="nil"/>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77</w:t>
            </w:r>
          </w:p>
        </w:tc>
        <w:tc>
          <w:tcPr>
            <w:tcW w:w="1134" w:type="dxa"/>
            <w:tcBorders>
              <w:top w:val="single" w:sz="4" w:space="0" w:color="auto"/>
              <w:left w:val="nil"/>
              <w:bottom w:val="dotted" w:sz="4" w:space="0" w:color="auto"/>
              <w:right w:val="doub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72</w:t>
            </w:r>
          </w:p>
        </w:tc>
      </w:tr>
      <w:tr w:rsidR="007C50D0" w:rsidRPr="007C50D0" w:rsidTr="00091D3C">
        <w:trPr>
          <w:trHeight w:val="255"/>
        </w:trPr>
        <w:tc>
          <w:tcPr>
            <w:tcW w:w="3827" w:type="dxa"/>
            <w:tcBorders>
              <w:top w:val="dotted" w:sz="4" w:space="0" w:color="auto"/>
              <w:left w:val="double" w:sz="4" w:space="0" w:color="auto"/>
              <w:bottom w:val="sing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w:t>
            </w:r>
          </w:p>
        </w:tc>
        <w:tc>
          <w:tcPr>
            <w:tcW w:w="1134" w:type="dxa"/>
            <w:tcBorders>
              <w:top w:val="dotted" w:sz="4" w:space="0" w:color="auto"/>
              <w:left w:val="double" w:sz="4" w:space="0" w:color="auto"/>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14,8</w:t>
            </w:r>
          </w:p>
        </w:tc>
        <w:tc>
          <w:tcPr>
            <w:tcW w:w="992" w:type="dxa"/>
            <w:tcBorders>
              <w:top w:val="dotted" w:sz="4" w:space="0" w:color="auto"/>
              <w:left w:val="nil"/>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13,5%</w:t>
            </w:r>
          </w:p>
        </w:tc>
        <w:tc>
          <w:tcPr>
            <w:tcW w:w="992" w:type="dxa"/>
            <w:tcBorders>
              <w:top w:val="dotted" w:sz="4" w:space="0" w:color="auto"/>
              <w:left w:val="nil"/>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13%</w:t>
            </w:r>
          </w:p>
        </w:tc>
        <w:tc>
          <w:tcPr>
            <w:tcW w:w="992" w:type="dxa"/>
            <w:tcBorders>
              <w:top w:val="dotted" w:sz="4" w:space="0" w:color="auto"/>
              <w:left w:val="nil"/>
              <w:bottom w:val="sing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14%</w:t>
            </w:r>
          </w:p>
        </w:tc>
        <w:tc>
          <w:tcPr>
            <w:tcW w:w="1134" w:type="dxa"/>
            <w:tcBorders>
              <w:top w:val="dotted" w:sz="4" w:space="0" w:color="auto"/>
              <w:left w:val="nil"/>
              <w:bottom w:val="single" w:sz="4" w:space="0" w:color="auto"/>
              <w:right w:val="doub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17,1%</w:t>
            </w:r>
          </w:p>
        </w:tc>
      </w:tr>
      <w:tr w:rsidR="007C50D0" w:rsidRPr="007C50D0" w:rsidTr="00091D3C">
        <w:trPr>
          <w:trHeight w:val="255"/>
        </w:trPr>
        <w:tc>
          <w:tcPr>
            <w:tcW w:w="3827" w:type="dxa"/>
            <w:tcBorders>
              <w:top w:val="single" w:sz="4" w:space="0" w:color="auto"/>
              <w:left w:val="double" w:sz="4" w:space="0" w:color="auto"/>
              <w:bottom w:val="dotted"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proofErr w:type="gramStart"/>
            <w:r w:rsidRPr="007C50D0">
              <w:rPr>
                <w:b/>
                <w:sz w:val="24"/>
                <w:szCs w:val="24"/>
              </w:rPr>
              <w:t>Из них ранее судимы</w:t>
            </w:r>
            <w:proofErr w:type="gramEnd"/>
          </w:p>
        </w:tc>
        <w:tc>
          <w:tcPr>
            <w:tcW w:w="1134" w:type="dxa"/>
            <w:tcBorders>
              <w:top w:val="single" w:sz="4" w:space="0" w:color="auto"/>
              <w:left w:val="double" w:sz="4" w:space="0" w:color="auto"/>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132</w:t>
            </w:r>
          </w:p>
        </w:tc>
        <w:tc>
          <w:tcPr>
            <w:tcW w:w="992" w:type="dxa"/>
            <w:tcBorders>
              <w:top w:val="single" w:sz="4" w:space="0" w:color="auto"/>
              <w:left w:val="nil"/>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66</w:t>
            </w:r>
          </w:p>
        </w:tc>
        <w:tc>
          <w:tcPr>
            <w:tcW w:w="992" w:type="dxa"/>
            <w:tcBorders>
              <w:top w:val="single" w:sz="4" w:space="0" w:color="auto"/>
              <w:left w:val="nil"/>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78</w:t>
            </w:r>
          </w:p>
        </w:tc>
        <w:tc>
          <w:tcPr>
            <w:tcW w:w="992" w:type="dxa"/>
            <w:tcBorders>
              <w:top w:val="single" w:sz="4" w:space="0" w:color="auto"/>
              <w:left w:val="nil"/>
              <w:bottom w:val="dotted"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111</w:t>
            </w:r>
          </w:p>
        </w:tc>
        <w:tc>
          <w:tcPr>
            <w:tcW w:w="1134" w:type="dxa"/>
            <w:tcBorders>
              <w:top w:val="single" w:sz="4" w:space="0" w:color="auto"/>
              <w:left w:val="nil"/>
              <w:bottom w:val="dotted" w:sz="4" w:space="0" w:color="auto"/>
              <w:right w:val="doub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81</w:t>
            </w:r>
          </w:p>
        </w:tc>
      </w:tr>
      <w:tr w:rsidR="007C50D0" w:rsidRPr="007C50D0" w:rsidTr="00091D3C">
        <w:trPr>
          <w:trHeight w:val="270"/>
        </w:trPr>
        <w:tc>
          <w:tcPr>
            <w:tcW w:w="3827" w:type="dxa"/>
            <w:tcBorders>
              <w:top w:val="dotted" w:sz="4" w:space="0" w:color="auto"/>
              <w:left w:val="double" w:sz="4" w:space="0" w:color="auto"/>
              <w:bottom w:val="double" w:sz="4" w:space="0" w:color="auto"/>
              <w:right w:val="double" w:sz="4" w:space="0" w:color="auto"/>
            </w:tcBorders>
            <w:shd w:val="clear" w:color="auto" w:fill="auto"/>
            <w:vAlign w:val="center"/>
          </w:tcPr>
          <w:p w:rsidR="007C50D0" w:rsidRPr="007C50D0" w:rsidRDefault="007C50D0" w:rsidP="008619A6">
            <w:pPr>
              <w:contextualSpacing/>
              <w:jc w:val="center"/>
              <w:rPr>
                <w:b/>
                <w:sz w:val="24"/>
                <w:szCs w:val="24"/>
              </w:rPr>
            </w:pPr>
            <w:r w:rsidRPr="007C50D0">
              <w:rPr>
                <w:b/>
                <w:sz w:val="24"/>
                <w:szCs w:val="24"/>
              </w:rPr>
              <w:t>%</w:t>
            </w:r>
          </w:p>
        </w:tc>
        <w:tc>
          <w:tcPr>
            <w:tcW w:w="1134" w:type="dxa"/>
            <w:tcBorders>
              <w:top w:val="dotted" w:sz="4" w:space="0" w:color="auto"/>
              <w:left w:val="double" w:sz="4" w:space="0" w:color="auto"/>
              <w:bottom w:val="doub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19,5</w:t>
            </w:r>
          </w:p>
        </w:tc>
        <w:tc>
          <w:tcPr>
            <w:tcW w:w="992" w:type="dxa"/>
            <w:tcBorders>
              <w:top w:val="dotted" w:sz="4" w:space="0" w:color="auto"/>
              <w:left w:val="nil"/>
              <w:bottom w:val="doub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12,6%</w:t>
            </w:r>
          </w:p>
        </w:tc>
        <w:tc>
          <w:tcPr>
            <w:tcW w:w="992" w:type="dxa"/>
            <w:tcBorders>
              <w:top w:val="dotted" w:sz="4" w:space="0" w:color="auto"/>
              <w:left w:val="nil"/>
              <w:bottom w:val="doub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12,7%</w:t>
            </w:r>
          </w:p>
        </w:tc>
        <w:tc>
          <w:tcPr>
            <w:tcW w:w="992" w:type="dxa"/>
            <w:tcBorders>
              <w:top w:val="dotted" w:sz="4" w:space="0" w:color="auto"/>
              <w:left w:val="nil"/>
              <w:bottom w:val="double" w:sz="4" w:space="0" w:color="auto"/>
              <w:right w:val="sing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20,2%</w:t>
            </w:r>
          </w:p>
        </w:tc>
        <w:tc>
          <w:tcPr>
            <w:tcW w:w="1134" w:type="dxa"/>
            <w:tcBorders>
              <w:top w:val="dotted" w:sz="4" w:space="0" w:color="auto"/>
              <w:left w:val="nil"/>
              <w:bottom w:val="double" w:sz="4" w:space="0" w:color="auto"/>
              <w:right w:val="double" w:sz="4"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19,2%</w:t>
            </w:r>
          </w:p>
        </w:tc>
      </w:tr>
    </w:tbl>
    <w:p w:rsidR="007C50D0" w:rsidRPr="007C50D0" w:rsidRDefault="007C50D0" w:rsidP="008619A6">
      <w:pPr>
        <w:ind w:firstLine="680"/>
        <w:contextualSpacing/>
        <w:jc w:val="both"/>
        <w:rPr>
          <w:sz w:val="24"/>
          <w:szCs w:val="24"/>
        </w:rPr>
      </w:pPr>
      <w:r w:rsidRPr="007C50D0">
        <w:rPr>
          <w:sz w:val="28"/>
          <w:szCs w:val="28"/>
        </w:rPr>
        <w:t xml:space="preserve">Качественные показатели свидетельствуют о том, что и в 2016 году, и в 2017 году наибольшее число несовершеннолетних осуждено за преступления, отнесенные к категориям средней тяжести и тяжким. Так, удельный вес подростков, совершивших в 2017 году тяжкие преступления, составляет 41,2% (174 лица), удельный вес подростков, совершивших преступления средней тяжести, – 36,7% (155 лиц). </w:t>
      </w:r>
    </w:p>
    <w:p w:rsidR="007C50D0" w:rsidRPr="007C50D0" w:rsidRDefault="007C50D0" w:rsidP="008619A6">
      <w:pPr>
        <w:ind w:firstLine="680"/>
        <w:contextualSpacing/>
        <w:jc w:val="both"/>
        <w:rPr>
          <w:sz w:val="28"/>
          <w:szCs w:val="28"/>
          <w:u w:val="single"/>
        </w:rPr>
      </w:pPr>
      <w:r w:rsidRPr="007C50D0">
        <w:rPr>
          <w:sz w:val="28"/>
          <w:szCs w:val="28"/>
          <w:u w:val="single"/>
        </w:rPr>
        <w:t>Категория преступлений</w:t>
      </w:r>
    </w:p>
    <w:p w:rsidR="007C50D0" w:rsidRPr="007C50D0" w:rsidRDefault="007C50D0" w:rsidP="008619A6">
      <w:pPr>
        <w:ind w:firstLine="680"/>
        <w:contextualSpacing/>
        <w:jc w:val="both"/>
        <w:rPr>
          <w:sz w:val="28"/>
          <w:szCs w:val="28"/>
        </w:rPr>
      </w:pPr>
      <w:r w:rsidRPr="007C50D0">
        <w:rPr>
          <w:sz w:val="28"/>
          <w:szCs w:val="28"/>
        </w:rPr>
        <w:t>В 2017 году наибольшее количество лиц осуждено по статье 158 Уголовного кодекса Российской Федерации «Кража». Как уже отмечалось ранее, в 2017 году доля лиц осужденных по данной категории составляет 24,9% . В сравнении с 2016 годом число лиц осужденных по статье 158 УК РФ уменьшилось на 38%.</w:t>
      </w:r>
    </w:p>
    <w:p w:rsidR="007C50D0" w:rsidRDefault="007C50D0" w:rsidP="008619A6">
      <w:pPr>
        <w:ind w:firstLine="680"/>
        <w:contextualSpacing/>
        <w:jc w:val="right"/>
        <w:rPr>
          <w:sz w:val="24"/>
          <w:szCs w:val="24"/>
        </w:rPr>
      </w:pPr>
      <w:r w:rsidRPr="007C50D0">
        <w:rPr>
          <w:sz w:val="24"/>
          <w:szCs w:val="24"/>
        </w:rPr>
        <w:t xml:space="preserve">Диаграмма </w:t>
      </w:r>
      <w:r w:rsidR="00F8243A">
        <w:rPr>
          <w:sz w:val="24"/>
          <w:szCs w:val="24"/>
        </w:rPr>
        <w:t>27</w:t>
      </w:r>
    </w:p>
    <w:p w:rsidR="00B25202" w:rsidRPr="007C50D0" w:rsidRDefault="00B25202" w:rsidP="00B25202">
      <w:pPr>
        <w:ind w:firstLine="680"/>
        <w:contextualSpacing/>
        <w:jc w:val="center"/>
        <w:rPr>
          <w:sz w:val="24"/>
          <w:szCs w:val="24"/>
          <w:highlight w:val="cyan"/>
          <w:u w:val="single"/>
        </w:rPr>
      </w:pPr>
      <w:r>
        <w:rPr>
          <w:noProof/>
        </w:rPr>
        <w:drawing>
          <wp:inline distT="0" distB="0" distL="0" distR="0" wp14:anchorId="4A7FDD84" wp14:editId="15E67A82">
            <wp:extent cx="4992130" cy="2413686"/>
            <wp:effectExtent l="0" t="0" r="18415" b="2476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C50D0" w:rsidRPr="007C50D0" w:rsidRDefault="007C50D0" w:rsidP="008619A6">
      <w:pPr>
        <w:ind w:firstLine="680"/>
        <w:contextualSpacing/>
        <w:jc w:val="both"/>
        <w:rPr>
          <w:sz w:val="28"/>
          <w:szCs w:val="28"/>
        </w:rPr>
      </w:pPr>
      <w:r w:rsidRPr="007C50D0">
        <w:rPr>
          <w:sz w:val="28"/>
          <w:szCs w:val="28"/>
        </w:rPr>
        <w:lastRenderedPageBreak/>
        <w:t>На протяжении нескольких лет одним из наиболее распространенных преступлений являются преступления, связанные с незаконным оборотом наркотических и психотропных средств. Доля осужденных за эти преступления занимает стабильно второе место в общем количестве осужденных лиц.</w:t>
      </w:r>
    </w:p>
    <w:p w:rsidR="007C50D0" w:rsidRPr="007C50D0" w:rsidRDefault="007C50D0" w:rsidP="008619A6">
      <w:pPr>
        <w:ind w:firstLine="680"/>
        <w:contextualSpacing/>
        <w:jc w:val="both"/>
        <w:rPr>
          <w:sz w:val="28"/>
          <w:szCs w:val="28"/>
        </w:rPr>
      </w:pPr>
      <w:proofErr w:type="gramStart"/>
      <w:r w:rsidRPr="007C50D0">
        <w:rPr>
          <w:sz w:val="28"/>
          <w:szCs w:val="28"/>
        </w:rPr>
        <w:t xml:space="preserve">Так, по сравнению с 2016 годом количество лиц, осужденных за преступления, связанные с незаконным оборотом наркотических и психотропных средств, увеличилось на 10,7%. По отношению к 2013 году, напротив, наблюдается уменьшение на 3,6%. В целом на протяжении пятилетнего интервала наблюдения сохраняется тенденция уменьшения данной группы осужденных, что связано в первую очередь с уменьшением общего количества осужденных лиц. </w:t>
      </w:r>
      <w:proofErr w:type="gramEnd"/>
    </w:p>
    <w:p w:rsidR="007C50D0" w:rsidRDefault="007C50D0" w:rsidP="008619A6">
      <w:pPr>
        <w:ind w:firstLine="680"/>
        <w:contextualSpacing/>
        <w:jc w:val="right"/>
        <w:rPr>
          <w:sz w:val="24"/>
          <w:szCs w:val="24"/>
        </w:rPr>
      </w:pPr>
      <w:r w:rsidRPr="007C50D0">
        <w:rPr>
          <w:sz w:val="24"/>
          <w:szCs w:val="24"/>
        </w:rPr>
        <w:t xml:space="preserve">Диаграмма </w:t>
      </w:r>
      <w:r w:rsidR="00F8243A">
        <w:rPr>
          <w:sz w:val="24"/>
          <w:szCs w:val="24"/>
        </w:rPr>
        <w:t>28</w:t>
      </w:r>
    </w:p>
    <w:p w:rsidR="00055CAA" w:rsidRPr="007C50D0" w:rsidRDefault="00055CAA" w:rsidP="00055CAA">
      <w:pPr>
        <w:ind w:firstLine="680"/>
        <w:contextualSpacing/>
        <w:jc w:val="center"/>
        <w:rPr>
          <w:sz w:val="24"/>
          <w:szCs w:val="24"/>
        </w:rPr>
      </w:pPr>
      <w:r>
        <w:rPr>
          <w:noProof/>
        </w:rPr>
        <w:drawing>
          <wp:inline distT="0" distB="0" distL="0" distR="0" wp14:anchorId="212C7D9C" wp14:editId="7C6DA92B">
            <wp:extent cx="5148648" cy="2594919"/>
            <wp:effectExtent l="0" t="0" r="13970" b="1524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C50D0" w:rsidRPr="007C50D0" w:rsidRDefault="007C50D0" w:rsidP="008619A6">
      <w:pPr>
        <w:ind w:firstLine="680"/>
        <w:contextualSpacing/>
        <w:jc w:val="both"/>
        <w:rPr>
          <w:sz w:val="24"/>
          <w:szCs w:val="24"/>
        </w:rPr>
      </w:pPr>
      <w:r w:rsidRPr="007C50D0">
        <w:rPr>
          <w:sz w:val="28"/>
          <w:szCs w:val="28"/>
        </w:rPr>
        <w:t>Количество несовершеннолетних, привлеченных к уголовной ответственности за преступления, связанные с незаконным оборотом наркотических и психотропных средств, увеличилось по сравнению с прошлым годом на 17,1%, а количество осужденных женщин – на 46,3%.</w:t>
      </w:r>
      <w:r w:rsidRPr="007C50D0">
        <w:rPr>
          <w:sz w:val="24"/>
          <w:szCs w:val="24"/>
        </w:rPr>
        <w:t xml:space="preserve">  </w:t>
      </w:r>
    </w:p>
    <w:p w:rsidR="007C50D0" w:rsidRDefault="007C50D0" w:rsidP="008619A6">
      <w:pPr>
        <w:contextualSpacing/>
        <w:jc w:val="right"/>
        <w:rPr>
          <w:sz w:val="24"/>
          <w:szCs w:val="24"/>
        </w:rPr>
      </w:pPr>
      <w:r w:rsidRPr="007C50D0">
        <w:rPr>
          <w:sz w:val="24"/>
          <w:szCs w:val="24"/>
        </w:rPr>
        <w:t>График 1</w:t>
      </w:r>
      <w:r w:rsidR="00F8243A">
        <w:rPr>
          <w:sz w:val="24"/>
          <w:szCs w:val="24"/>
        </w:rPr>
        <w:t>8</w:t>
      </w:r>
      <w:r w:rsidRPr="007C50D0">
        <w:rPr>
          <w:sz w:val="24"/>
          <w:szCs w:val="24"/>
        </w:rPr>
        <w:t xml:space="preserve"> </w:t>
      </w:r>
    </w:p>
    <w:p w:rsidR="00055CAA" w:rsidRPr="007C50D0" w:rsidRDefault="00055CAA" w:rsidP="00055CAA">
      <w:pPr>
        <w:ind w:firstLine="709"/>
        <w:contextualSpacing/>
        <w:jc w:val="center"/>
        <w:rPr>
          <w:sz w:val="24"/>
          <w:szCs w:val="24"/>
        </w:rPr>
      </w:pPr>
      <w:r>
        <w:rPr>
          <w:noProof/>
        </w:rPr>
        <w:drawing>
          <wp:inline distT="0" distB="0" distL="0" distR="0" wp14:anchorId="19A10E0C" wp14:editId="0F6580CC">
            <wp:extent cx="4983892" cy="2891481"/>
            <wp:effectExtent l="0" t="0" r="26670" b="2349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C50D0" w:rsidRPr="007C50D0" w:rsidRDefault="007C50D0" w:rsidP="00A0574E">
      <w:pPr>
        <w:ind w:right="402" w:firstLine="709"/>
        <w:contextualSpacing/>
        <w:jc w:val="center"/>
        <w:rPr>
          <w:sz w:val="28"/>
          <w:szCs w:val="28"/>
        </w:rPr>
      </w:pPr>
    </w:p>
    <w:p w:rsidR="007C50D0" w:rsidRPr="007C50D0" w:rsidRDefault="00663894" w:rsidP="00663894">
      <w:pPr>
        <w:contextualSpacing/>
        <w:jc w:val="center"/>
        <w:rPr>
          <w:sz w:val="24"/>
          <w:szCs w:val="24"/>
        </w:rPr>
      </w:pPr>
      <w:r>
        <w:rPr>
          <w:sz w:val="24"/>
          <w:szCs w:val="24"/>
        </w:rPr>
        <w:t xml:space="preserve">                                                                                                                       </w:t>
      </w:r>
      <w:r w:rsidR="007C50D0" w:rsidRPr="007C50D0">
        <w:rPr>
          <w:sz w:val="24"/>
          <w:szCs w:val="24"/>
        </w:rPr>
        <w:t xml:space="preserve">Таблица </w:t>
      </w:r>
      <w:r w:rsidR="00F8243A">
        <w:rPr>
          <w:sz w:val="24"/>
          <w:szCs w:val="24"/>
        </w:rPr>
        <w:t>5</w:t>
      </w:r>
      <w:r w:rsidR="00E45BEB">
        <w:rPr>
          <w:sz w:val="24"/>
          <w:szCs w:val="24"/>
        </w:rPr>
        <w:t>1</w:t>
      </w:r>
    </w:p>
    <w:tbl>
      <w:tblPr>
        <w:tblW w:w="9072" w:type="dxa"/>
        <w:tblInd w:w="250" w:type="dxa"/>
        <w:tblLayout w:type="fixed"/>
        <w:tblLook w:val="04A0" w:firstRow="1" w:lastRow="0" w:firstColumn="1" w:lastColumn="0" w:noHBand="0" w:noVBand="1"/>
      </w:tblPr>
      <w:tblGrid>
        <w:gridCol w:w="4253"/>
        <w:gridCol w:w="960"/>
        <w:gridCol w:w="883"/>
        <w:gridCol w:w="992"/>
        <w:gridCol w:w="992"/>
        <w:gridCol w:w="992"/>
      </w:tblGrid>
      <w:tr w:rsidR="007C50D0" w:rsidRPr="007C50D0" w:rsidTr="00A0574E">
        <w:trPr>
          <w:trHeight w:val="378"/>
        </w:trPr>
        <w:tc>
          <w:tcPr>
            <w:tcW w:w="9072" w:type="dxa"/>
            <w:gridSpan w:val="6"/>
            <w:tcBorders>
              <w:top w:val="double" w:sz="6" w:space="0" w:color="auto"/>
              <w:left w:val="double" w:sz="6" w:space="0" w:color="auto"/>
              <w:bottom w:val="single" w:sz="8" w:space="0" w:color="auto"/>
              <w:right w:val="double" w:sz="6" w:space="0" w:color="000000"/>
            </w:tcBorders>
            <w:shd w:val="clear" w:color="auto" w:fill="auto"/>
            <w:vAlign w:val="center"/>
            <w:hideMark/>
          </w:tcPr>
          <w:p w:rsidR="007C50D0" w:rsidRPr="007C50D0" w:rsidRDefault="007C50D0" w:rsidP="008619A6">
            <w:pPr>
              <w:contextualSpacing/>
              <w:jc w:val="center"/>
              <w:rPr>
                <w:b/>
                <w:bCs/>
                <w:color w:val="000000"/>
                <w:sz w:val="24"/>
                <w:szCs w:val="24"/>
              </w:rPr>
            </w:pPr>
            <w:r w:rsidRPr="007C50D0">
              <w:rPr>
                <w:b/>
                <w:bCs/>
                <w:color w:val="000000"/>
                <w:sz w:val="24"/>
                <w:szCs w:val="24"/>
              </w:rPr>
              <w:t xml:space="preserve">Динамика судимости  по преступлениям, связанным с незаконным оборотом наркотических средств </w:t>
            </w:r>
          </w:p>
        </w:tc>
      </w:tr>
      <w:tr w:rsidR="007C50D0" w:rsidRPr="007C50D0" w:rsidTr="00A0574E">
        <w:trPr>
          <w:trHeight w:val="52"/>
        </w:trPr>
        <w:tc>
          <w:tcPr>
            <w:tcW w:w="4253" w:type="dxa"/>
            <w:tcBorders>
              <w:top w:val="nil"/>
              <w:left w:val="double" w:sz="6" w:space="0" w:color="auto"/>
              <w:bottom w:val="double" w:sz="6" w:space="0" w:color="auto"/>
              <w:right w:val="double" w:sz="6" w:space="0" w:color="auto"/>
            </w:tcBorders>
            <w:shd w:val="clear" w:color="auto" w:fill="auto"/>
            <w:vAlign w:val="center"/>
            <w:hideMark/>
          </w:tcPr>
          <w:p w:rsidR="007C50D0" w:rsidRPr="007C50D0" w:rsidRDefault="007C50D0" w:rsidP="008619A6">
            <w:pPr>
              <w:contextualSpacing/>
              <w:rPr>
                <w:b/>
                <w:bCs/>
                <w:color w:val="000000"/>
                <w:sz w:val="24"/>
                <w:szCs w:val="24"/>
              </w:rPr>
            </w:pPr>
            <w:r w:rsidRPr="007C50D0">
              <w:rPr>
                <w:b/>
                <w:bCs/>
                <w:color w:val="000000"/>
                <w:sz w:val="24"/>
                <w:szCs w:val="24"/>
              </w:rPr>
              <w:t> </w:t>
            </w:r>
          </w:p>
        </w:tc>
        <w:tc>
          <w:tcPr>
            <w:tcW w:w="960"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color w:val="000000"/>
                <w:sz w:val="24"/>
                <w:szCs w:val="24"/>
              </w:rPr>
            </w:pPr>
            <w:r w:rsidRPr="007C50D0">
              <w:rPr>
                <w:b/>
                <w:bCs/>
                <w:color w:val="000000"/>
                <w:sz w:val="24"/>
                <w:szCs w:val="24"/>
              </w:rPr>
              <w:t>2013</w:t>
            </w:r>
          </w:p>
        </w:tc>
        <w:tc>
          <w:tcPr>
            <w:tcW w:w="883"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color w:val="000000"/>
                <w:sz w:val="24"/>
                <w:szCs w:val="24"/>
              </w:rPr>
            </w:pPr>
            <w:r w:rsidRPr="007C50D0">
              <w:rPr>
                <w:b/>
                <w:bCs/>
                <w:color w:val="000000"/>
                <w:sz w:val="24"/>
                <w:szCs w:val="24"/>
              </w:rPr>
              <w:t>2014</w:t>
            </w:r>
          </w:p>
        </w:tc>
        <w:tc>
          <w:tcPr>
            <w:tcW w:w="992"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color w:val="000000"/>
                <w:sz w:val="24"/>
                <w:szCs w:val="24"/>
              </w:rPr>
            </w:pPr>
            <w:r w:rsidRPr="007C50D0">
              <w:rPr>
                <w:b/>
                <w:bCs/>
                <w:color w:val="000000"/>
                <w:sz w:val="24"/>
                <w:szCs w:val="24"/>
              </w:rPr>
              <w:t>2015</w:t>
            </w:r>
          </w:p>
        </w:tc>
        <w:tc>
          <w:tcPr>
            <w:tcW w:w="992"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
                <w:bCs/>
                <w:color w:val="000000"/>
                <w:sz w:val="24"/>
                <w:szCs w:val="24"/>
              </w:rPr>
            </w:pPr>
            <w:r w:rsidRPr="007C50D0">
              <w:rPr>
                <w:b/>
                <w:bCs/>
                <w:color w:val="000000"/>
                <w:sz w:val="24"/>
                <w:szCs w:val="24"/>
              </w:rPr>
              <w:t>2016</w:t>
            </w:r>
          </w:p>
        </w:tc>
        <w:tc>
          <w:tcPr>
            <w:tcW w:w="992" w:type="dxa"/>
            <w:tcBorders>
              <w:top w:val="nil"/>
              <w:left w:val="nil"/>
              <w:bottom w:val="double" w:sz="6" w:space="0" w:color="auto"/>
              <w:right w:val="double" w:sz="6" w:space="0" w:color="auto"/>
            </w:tcBorders>
            <w:shd w:val="clear" w:color="auto" w:fill="auto"/>
            <w:vAlign w:val="center"/>
            <w:hideMark/>
          </w:tcPr>
          <w:p w:rsidR="007C50D0" w:rsidRPr="007C50D0" w:rsidRDefault="007C50D0" w:rsidP="008619A6">
            <w:pPr>
              <w:contextualSpacing/>
              <w:jc w:val="center"/>
              <w:rPr>
                <w:b/>
                <w:bCs/>
                <w:color w:val="000000"/>
                <w:sz w:val="24"/>
                <w:szCs w:val="24"/>
              </w:rPr>
            </w:pPr>
            <w:r w:rsidRPr="007C50D0">
              <w:rPr>
                <w:b/>
                <w:bCs/>
                <w:color w:val="000000"/>
                <w:sz w:val="24"/>
                <w:szCs w:val="24"/>
              </w:rPr>
              <w:t>2017</w:t>
            </w:r>
          </w:p>
        </w:tc>
      </w:tr>
      <w:tr w:rsidR="007C50D0" w:rsidRPr="007C50D0" w:rsidTr="00A0574E">
        <w:trPr>
          <w:trHeight w:val="207"/>
        </w:trPr>
        <w:tc>
          <w:tcPr>
            <w:tcW w:w="4253" w:type="dxa"/>
            <w:tcBorders>
              <w:top w:val="nil"/>
              <w:left w:val="double" w:sz="6" w:space="0" w:color="auto"/>
              <w:bottom w:val="dotted" w:sz="4" w:space="0" w:color="auto"/>
              <w:right w:val="double" w:sz="6" w:space="0" w:color="auto"/>
            </w:tcBorders>
            <w:shd w:val="clear" w:color="auto" w:fill="auto"/>
            <w:vAlign w:val="center"/>
            <w:hideMark/>
          </w:tcPr>
          <w:p w:rsidR="007C50D0" w:rsidRPr="007C50D0" w:rsidRDefault="007C50D0" w:rsidP="008619A6">
            <w:pPr>
              <w:contextualSpacing/>
              <w:rPr>
                <w:b/>
                <w:bCs/>
                <w:color w:val="000000"/>
                <w:sz w:val="24"/>
                <w:szCs w:val="24"/>
              </w:rPr>
            </w:pPr>
            <w:r w:rsidRPr="007C50D0">
              <w:rPr>
                <w:b/>
                <w:bCs/>
                <w:color w:val="000000"/>
                <w:sz w:val="24"/>
                <w:szCs w:val="24"/>
              </w:rPr>
              <w:t>Всего осуждено лиц</w:t>
            </w:r>
          </w:p>
        </w:tc>
        <w:tc>
          <w:tcPr>
            <w:tcW w:w="960"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2088</w:t>
            </w:r>
          </w:p>
        </w:tc>
        <w:tc>
          <w:tcPr>
            <w:tcW w:w="883"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2088</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2096</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1710</w:t>
            </w:r>
          </w:p>
        </w:tc>
        <w:tc>
          <w:tcPr>
            <w:tcW w:w="992" w:type="dxa"/>
            <w:tcBorders>
              <w:top w:val="nil"/>
              <w:left w:val="nil"/>
              <w:bottom w:val="dotted" w:sz="4" w:space="0" w:color="auto"/>
              <w:right w:val="double" w:sz="6"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1893</w:t>
            </w:r>
          </w:p>
        </w:tc>
      </w:tr>
      <w:tr w:rsidR="007C50D0" w:rsidRPr="007C50D0" w:rsidTr="00A0574E">
        <w:trPr>
          <w:trHeight w:val="203"/>
        </w:trPr>
        <w:tc>
          <w:tcPr>
            <w:tcW w:w="4253" w:type="dxa"/>
            <w:tcBorders>
              <w:top w:val="nil"/>
              <w:left w:val="double" w:sz="6" w:space="0" w:color="auto"/>
              <w:bottom w:val="dotted" w:sz="4" w:space="0" w:color="auto"/>
              <w:right w:val="double" w:sz="6" w:space="0" w:color="auto"/>
            </w:tcBorders>
            <w:shd w:val="clear" w:color="auto" w:fill="auto"/>
            <w:vAlign w:val="center"/>
            <w:hideMark/>
          </w:tcPr>
          <w:p w:rsidR="007C50D0" w:rsidRPr="007C50D0" w:rsidRDefault="007C50D0" w:rsidP="008619A6">
            <w:pPr>
              <w:contextualSpacing/>
              <w:rPr>
                <w:i/>
                <w:iCs/>
                <w:color w:val="000000"/>
                <w:sz w:val="24"/>
                <w:szCs w:val="24"/>
              </w:rPr>
            </w:pPr>
            <w:r w:rsidRPr="007C50D0">
              <w:rPr>
                <w:i/>
                <w:iCs/>
                <w:color w:val="000000"/>
                <w:sz w:val="24"/>
                <w:szCs w:val="24"/>
              </w:rPr>
              <w:t xml:space="preserve">из них:     </w:t>
            </w:r>
            <w:r w:rsidRPr="007C50D0">
              <w:rPr>
                <w:color w:val="000000"/>
                <w:sz w:val="24"/>
                <w:szCs w:val="24"/>
              </w:rPr>
              <w:t>мужчин</w:t>
            </w:r>
          </w:p>
        </w:tc>
        <w:tc>
          <w:tcPr>
            <w:tcW w:w="960"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1959</w:t>
            </w:r>
          </w:p>
        </w:tc>
        <w:tc>
          <w:tcPr>
            <w:tcW w:w="883"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1971</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1955</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958</w:t>
            </w:r>
          </w:p>
        </w:tc>
        <w:tc>
          <w:tcPr>
            <w:tcW w:w="992" w:type="dxa"/>
            <w:tcBorders>
              <w:top w:val="nil"/>
              <w:left w:val="nil"/>
              <w:bottom w:val="dotted" w:sz="4" w:space="0" w:color="auto"/>
              <w:right w:val="double" w:sz="6"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1732</w:t>
            </w:r>
          </w:p>
        </w:tc>
      </w:tr>
      <w:tr w:rsidR="007C50D0" w:rsidRPr="007C50D0" w:rsidTr="00A0574E">
        <w:trPr>
          <w:trHeight w:val="207"/>
        </w:trPr>
        <w:tc>
          <w:tcPr>
            <w:tcW w:w="4253" w:type="dxa"/>
            <w:tcBorders>
              <w:top w:val="nil"/>
              <w:left w:val="double" w:sz="6" w:space="0" w:color="auto"/>
              <w:bottom w:val="dotted" w:sz="4" w:space="0" w:color="auto"/>
              <w:right w:val="double" w:sz="6" w:space="0" w:color="auto"/>
            </w:tcBorders>
            <w:shd w:val="clear" w:color="auto" w:fill="auto"/>
            <w:vAlign w:val="center"/>
            <w:hideMark/>
          </w:tcPr>
          <w:p w:rsidR="007C50D0" w:rsidRPr="007C50D0" w:rsidRDefault="007C50D0" w:rsidP="008619A6">
            <w:pPr>
              <w:contextualSpacing/>
              <w:rPr>
                <w:color w:val="000000"/>
                <w:sz w:val="24"/>
                <w:szCs w:val="24"/>
              </w:rPr>
            </w:pPr>
            <w:r w:rsidRPr="007C50D0">
              <w:rPr>
                <w:color w:val="000000"/>
                <w:sz w:val="24"/>
                <w:szCs w:val="24"/>
              </w:rPr>
              <w:t xml:space="preserve">       женщин</w:t>
            </w:r>
          </w:p>
        </w:tc>
        <w:tc>
          <w:tcPr>
            <w:tcW w:w="960"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129</w:t>
            </w:r>
          </w:p>
        </w:tc>
        <w:tc>
          <w:tcPr>
            <w:tcW w:w="883"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117</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141</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110</w:t>
            </w:r>
          </w:p>
        </w:tc>
        <w:tc>
          <w:tcPr>
            <w:tcW w:w="992" w:type="dxa"/>
            <w:tcBorders>
              <w:top w:val="nil"/>
              <w:left w:val="nil"/>
              <w:bottom w:val="dotted" w:sz="4" w:space="0" w:color="auto"/>
              <w:right w:val="double" w:sz="6"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161</w:t>
            </w:r>
          </w:p>
        </w:tc>
      </w:tr>
      <w:tr w:rsidR="007C50D0" w:rsidRPr="007C50D0" w:rsidTr="00A0574E">
        <w:trPr>
          <w:trHeight w:val="62"/>
        </w:trPr>
        <w:tc>
          <w:tcPr>
            <w:tcW w:w="4253" w:type="dxa"/>
            <w:tcBorders>
              <w:top w:val="nil"/>
              <w:left w:val="double" w:sz="6" w:space="0" w:color="auto"/>
              <w:bottom w:val="single" w:sz="8" w:space="0" w:color="auto"/>
              <w:right w:val="double" w:sz="6" w:space="0" w:color="auto"/>
            </w:tcBorders>
            <w:shd w:val="clear" w:color="auto" w:fill="auto"/>
            <w:vAlign w:val="center"/>
            <w:hideMark/>
          </w:tcPr>
          <w:p w:rsidR="007C50D0" w:rsidRPr="007C50D0" w:rsidRDefault="007C50D0" w:rsidP="008619A6">
            <w:pPr>
              <w:contextualSpacing/>
              <w:rPr>
                <w:color w:val="000000"/>
                <w:sz w:val="24"/>
                <w:szCs w:val="24"/>
              </w:rPr>
            </w:pPr>
            <w:r w:rsidRPr="007C50D0">
              <w:rPr>
                <w:color w:val="000000"/>
                <w:sz w:val="24"/>
                <w:szCs w:val="24"/>
              </w:rPr>
              <w:t xml:space="preserve">       несовершеннолетних</w:t>
            </w:r>
          </w:p>
        </w:tc>
        <w:tc>
          <w:tcPr>
            <w:tcW w:w="960" w:type="dxa"/>
            <w:tcBorders>
              <w:top w:val="nil"/>
              <w:left w:val="nil"/>
              <w:bottom w:val="single" w:sz="8"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68</w:t>
            </w:r>
          </w:p>
        </w:tc>
        <w:tc>
          <w:tcPr>
            <w:tcW w:w="883" w:type="dxa"/>
            <w:tcBorders>
              <w:top w:val="nil"/>
              <w:left w:val="nil"/>
              <w:bottom w:val="single" w:sz="8"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83</w:t>
            </w:r>
          </w:p>
        </w:tc>
        <w:tc>
          <w:tcPr>
            <w:tcW w:w="992" w:type="dxa"/>
            <w:tcBorders>
              <w:top w:val="nil"/>
              <w:left w:val="nil"/>
              <w:bottom w:val="single" w:sz="8"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69</w:t>
            </w:r>
          </w:p>
        </w:tc>
        <w:tc>
          <w:tcPr>
            <w:tcW w:w="992" w:type="dxa"/>
            <w:tcBorders>
              <w:top w:val="nil"/>
              <w:left w:val="nil"/>
              <w:bottom w:val="single" w:sz="8"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35</w:t>
            </w:r>
          </w:p>
        </w:tc>
        <w:tc>
          <w:tcPr>
            <w:tcW w:w="992" w:type="dxa"/>
            <w:tcBorders>
              <w:top w:val="nil"/>
              <w:left w:val="nil"/>
              <w:bottom w:val="single" w:sz="8" w:space="0" w:color="auto"/>
              <w:right w:val="double" w:sz="6"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41</w:t>
            </w:r>
          </w:p>
        </w:tc>
      </w:tr>
      <w:tr w:rsidR="007C50D0" w:rsidRPr="007C50D0" w:rsidTr="00A0574E">
        <w:trPr>
          <w:trHeight w:val="52"/>
        </w:trPr>
        <w:tc>
          <w:tcPr>
            <w:tcW w:w="4253" w:type="dxa"/>
            <w:tcBorders>
              <w:top w:val="nil"/>
              <w:left w:val="double" w:sz="6" w:space="0" w:color="auto"/>
              <w:bottom w:val="dotted" w:sz="4" w:space="0" w:color="auto"/>
              <w:right w:val="double" w:sz="6" w:space="0" w:color="auto"/>
            </w:tcBorders>
            <w:shd w:val="clear" w:color="auto" w:fill="auto"/>
            <w:vAlign w:val="center"/>
            <w:hideMark/>
          </w:tcPr>
          <w:p w:rsidR="007C50D0" w:rsidRPr="007C50D0" w:rsidRDefault="007C50D0" w:rsidP="008619A6">
            <w:pPr>
              <w:contextualSpacing/>
              <w:rPr>
                <w:b/>
                <w:bCs/>
                <w:color w:val="000000"/>
                <w:sz w:val="24"/>
                <w:szCs w:val="24"/>
              </w:rPr>
            </w:pPr>
            <w:r w:rsidRPr="007C50D0">
              <w:rPr>
                <w:b/>
                <w:bCs/>
                <w:color w:val="000000"/>
                <w:sz w:val="24"/>
                <w:szCs w:val="24"/>
              </w:rPr>
              <w:t>Меры наказания</w:t>
            </w:r>
          </w:p>
        </w:tc>
        <w:tc>
          <w:tcPr>
            <w:tcW w:w="960"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883"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 </w:t>
            </w:r>
          </w:p>
        </w:tc>
        <w:tc>
          <w:tcPr>
            <w:tcW w:w="992" w:type="dxa"/>
            <w:tcBorders>
              <w:top w:val="nil"/>
              <w:left w:val="nil"/>
              <w:bottom w:val="dotted" w:sz="4" w:space="0" w:color="auto"/>
              <w:right w:val="double" w:sz="6" w:space="0" w:color="auto"/>
            </w:tcBorders>
            <w:shd w:val="clear" w:color="auto" w:fill="auto"/>
            <w:vAlign w:val="center"/>
          </w:tcPr>
          <w:p w:rsidR="007C50D0" w:rsidRPr="007C50D0" w:rsidRDefault="007C50D0" w:rsidP="008619A6">
            <w:pPr>
              <w:contextualSpacing/>
              <w:jc w:val="center"/>
              <w:rPr>
                <w:bCs/>
                <w:i/>
                <w:iCs/>
                <w:color w:val="000000"/>
                <w:sz w:val="24"/>
                <w:szCs w:val="24"/>
              </w:rPr>
            </w:pPr>
          </w:p>
        </w:tc>
      </w:tr>
      <w:tr w:rsidR="007C50D0" w:rsidRPr="007C50D0" w:rsidTr="00A0574E">
        <w:trPr>
          <w:trHeight w:val="178"/>
        </w:trPr>
        <w:tc>
          <w:tcPr>
            <w:tcW w:w="4253" w:type="dxa"/>
            <w:tcBorders>
              <w:top w:val="nil"/>
              <w:left w:val="double" w:sz="6" w:space="0" w:color="auto"/>
              <w:bottom w:val="dotted" w:sz="4" w:space="0" w:color="auto"/>
              <w:right w:val="double" w:sz="6" w:space="0" w:color="auto"/>
            </w:tcBorders>
            <w:shd w:val="clear" w:color="auto" w:fill="auto"/>
            <w:vAlign w:val="center"/>
            <w:hideMark/>
          </w:tcPr>
          <w:p w:rsidR="007C50D0" w:rsidRPr="007C50D0" w:rsidRDefault="007C50D0" w:rsidP="008619A6">
            <w:pPr>
              <w:contextualSpacing/>
              <w:rPr>
                <w:color w:val="000000"/>
                <w:sz w:val="24"/>
                <w:szCs w:val="24"/>
              </w:rPr>
            </w:pPr>
            <w:r w:rsidRPr="007C50D0">
              <w:rPr>
                <w:color w:val="000000"/>
                <w:sz w:val="24"/>
                <w:szCs w:val="24"/>
              </w:rPr>
              <w:t>к лишению свободы</w:t>
            </w:r>
          </w:p>
        </w:tc>
        <w:tc>
          <w:tcPr>
            <w:tcW w:w="960"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843</w:t>
            </w:r>
          </w:p>
        </w:tc>
        <w:tc>
          <w:tcPr>
            <w:tcW w:w="883"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852</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949</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732</w:t>
            </w:r>
          </w:p>
        </w:tc>
        <w:tc>
          <w:tcPr>
            <w:tcW w:w="992" w:type="dxa"/>
            <w:tcBorders>
              <w:top w:val="nil"/>
              <w:left w:val="nil"/>
              <w:bottom w:val="dotted" w:sz="4" w:space="0" w:color="auto"/>
              <w:right w:val="double" w:sz="6"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818</w:t>
            </w:r>
          </w:p>
        </w:tc>
      </w:tr>
      <w:tr w:rsidR="007C50D0" w:rsidRPr="007C50D0" w:rsidTr="00A0574E">
        <w:trPr>
          <w:trHeight w:val="323"/>
        </w:trPr>
        <w:tc>
          <w:tcPr>
            <w:tcW w:w="4253" w:type="dxa"/>
            <w:tcBorders>
              <w:top w:val="nil"/>
              <w:left w:val="double" w:sz="6" w:space="0" w:color="auto"/>
              <w:bottom w:val="dotted" w:sz="4" w:space="0" w:color="auto"/>
              <w:right w:val="double" w:sz="6" w:space="0" w:color="auto"/>
            </w:tcBorders>
            <w:shd w:val="clear" w:color="auto" w:fill="auto"/>
            <w:vAlign w:val="center"/>
            <w:hideMark/>
          </w:tcPr>
          <w:p w:rsidR="007C50D0" w:rsidRPr="007C50D0" w:rsidRDefault="007C50D0" w:rsidP="008619A6">
            <w:pPr>
              <w:contextualSpacing/>
              <w:rPr>
                <w:color w:val="000000"/>
                <w:sz w:val="24"/>
                <w:szCs w:val="24"/>
              </w:rPr>
            </w:pPr>
            <w:r w:rsidRPr="007C50D0">
              <w:rPr>
                <w:color w:val="000000"/>
                <w:sz w:val="24"/>
                <w:szCs w:val="24"/>
              </w:rPr>
              <w:t>условно с испытательным сроком</w:t>
            </w:r>
          </w:p>
        </w:tc>
        <w:tc>
          <w:tcPr>
            <w:tcW w:w="960"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941</w:t>
            </w:r>
          </w:p>
        </w:tc>
        <w:tc>
          <w:tcPr>
            <w:tcW w:w="883"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1003</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762</w:t>
            </w:r>
          </w:p>
        </w:tc>
        <w:tc>
          <w:tcPr>
            <w:tcW w:w="992" w:type="dxa"/>
            <w:tcBorders>
              <w:top w:val="nil"/>
              <w:left w:val="nil"/>
              <w:bottom w:val="dotted"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651</w:t>
            </w:r>
          </w:p>
        </w:tc>
        <w:tc>
          <w:tcPr>
            <w:tcW w:w="992" w:type="dxa"/>
            <w:tcBorders>
              <w:top w:val="nil"/>
              <w:left w:val="nil"/>
              <w:bottom w:val="dotted" w:sz="4" w:space="0" w:color="auto"/>
              <w:right w:val="double" w:sz="6"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810</w:t>
            </w:r>
          </w:p>
        </w:tc>
      </w:tr>
      <w:tr w:rsidR="007C50D0" w:rsidRPr="007C50D0" w:rsidTr="00A0574E">
        <w:trPr>
          <w:trHeight w:val="271"/>
        </w:trPr>
        <w:tc>
          <w:tcPr>
            <w:tcW w:w="4253" w:type="dxa"/>
            <w:tcBorders>
              <w:top w:val="nil"/>
              <w:left w:val="double" w:sz="6" w:space="0" w:color="auto"/>
              <w:bottom w:val="nil"/>
              <w:right w:val="double" w:sz="6" w:space="0" w:color="auto"/>
            </w:tcBorders>
            <w:shd w:val="clear" w:color="auto" w:fill="auto"/>
            <w:vAlign w:val="center"/>
            <w:hideMark/>
          </w:tcPr>
          <w:p w:rsidR="007C50D0" w:rsidRPr="007C50D0" w:rsidRDefault="007C50D0" w:rsidP="008619A6">
            <w:pPr>
              <w:contextualSpacing/>
              <w:rPr>
                <w:color w:val="000000"/>
                <w:sz w:val="24"/>
                <w:szCs w:val="24"/>
              </w:rPr>
            </w:pPr>
            <w:r w:rsidRPr="007C50D0">
              <w:rPr>
                <w:color w:val="000000"/>
                <w:sz w:val="24"/>
                <w:szCs w:val="24"/>
              </w:rPr>
              <w:t>к исправительным работам и штрафу</w:t>
            </w:r>
          </w:p>
        </w:tc>
        <w:tc>
          <w:tcPr>
            <w:tcW w:w="960" w:type="dxa"/>
            <w:tcBorders>
              <w:top w:val="nil"/>
              <w:left w:val="nil"/>
              <w:bottom w:val="nil"/>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232</w:t>
            </w:r>
          </w:p>
        </w:tc>
        <w:tc>
          <w:tcPr>
            <w:tcW w:w="883" w:type="dxa"/>
            <w:tcBorders>
              <w:top w:val="nil"/>
              <w:left w:val="nil"/>
              <w:bottom w:val="single"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175</w:t>
            </w:r>
          </w:p>
        </w:tc>
        <w:tc>
          <w:tcPr>
            <w:tcW w:w="992" w:type="dxa"/>
            <w:tcBorders>
              <w:top w:val="nil"/>
              <w:left w:val="nil"/>
              <w:bottom w:val="nil"/>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123</w:t>
            </w:r>
          </w:p>
        </w:tc>
        <w:tc>
          <w:tcPr>
            <w:tcW w:w="992" w:type="dxa"/>
            <w:tcBorders>
              <w:top w:val="nil"/>
              <w:left w:val="nil"/>
              <w:bottom w:val="nil"/>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38</w:t>
            </w:r>
          </w:p>
        </w:tc>
        <w:tc>
          <w:tcPr>
            <w:tcW w:w="992" w:type="dxa"/>
            <w:tcBorders>
              <w:top w:val="nil"/>
              <w:left w:val="nil"/>
              <w:bottom w:val="single" w:sz="4" w:space="0" w:color="auto"/>
              <w:right w:val="double" w:sz="6"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32</w:t>
            </w:r>
          </w:p>
        </w:tc>
      </w:tr>
      <w:tr w:rsidR="007C50D0" w:rsidRPr="007C50D0" w:rsidTr="00A0574E">
        <w:trPr>
          <w:trHeight w:val="233"/>
        </w:trPr>
        <w:tc>
          <w:tcPr>
            <w:tcW w:w="4253" w:type="dxa"/>
            <w:tcBorders>
              <w:top w:val="single" w:sz="4" w:space="0" w:color="auto"/>
              <w:left w:val="double" w:sz="6" w:space="0" w:color="auto"/>
              <w:bottom w:val="single" w:sz="4" w:space="0" w:color="auto"/>
              <w:right w:val="double" w:sz="6" w:space="0" w:color="auto"/>
            </w:tcBorders>
            <w:shd w:val="clear" w:color="auto" w:fill="auto"/>
            <w:vAlign w:val="center"/>
            <w:hideMark/>
          </w:tcPr>
          <w:p w:rsidR="007C50D0" w:rsidRPr="007C50D0" w:rsidRDefault="007C50D0" w:rsidP="008619A6">
            <w:pPr>
              <w:contextualSpacing/>
              <w:rPr>
                <w:color w:val="000000"/>
                <w:sz w:val="24"/>
                <w:szCs w:val="24"/>
              </w:rPr>
            </w:pPr>
            <w:r w:rsidRPr="007C50D0">
              <w:rPr>
                <w:color w:val="000000"/>
                <w:sz w:val="24"/>
                <w:szCs w:val="24"/>
              </w:rPr>
              <w:t>к обязательным работам</w:t>
            </w:r>
          </w:p>
        </w:tc>
        <w:tc>
          <w:tcPr>
            <w:tcW w:w="960" w:type="dxa"/>
            <w:tcBorders>
              <w:top w:val="single" w:sz="4" w:space="0" w:color="auto"/>
              <w:left w:val="nil"/>
              <w:bottom w:val="single" w:sz="4" w:space="0" w:color="auto"/>
              <w:right w:val="nil"/>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54</w:t>
            </w:r>
          </w:p>
        </w:tc>
        <w:tc>
          <w:tcPr>
            <w:tcW w:w="883" w:type="dxa"/>
            <w:tcBorders>
              <w:top w:val="nil"/>
              <w:left w:val="single" w:sz="8" w:space="0" w:color="auto"/>
              <w:bottom w:val="single"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47</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53</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44</w:t>
            </w:r>
          </w:p>
        </w:tc>
        <w:tc>
          <w:tcPr>
            <w:tcW w:w="992" w:type="dxa"/>
            <w:tcBorders>
              <w:top w:val="nil"/>
              <w:left w:val="nil"/>
              <w:bottom w:val="single" w:sz="4" w:space="0" w:color="auto"/>
              <w:right w:val="double" w:sz="6"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54</w:t>
            </w:r>
          </w:p>
        </w:tc>
      </w:tr>
      <w:tr w:rsidR="007C50D0" w:rsidRPr="007C50D0" w:rsidTr="00A0574E">
        <w:trPr>
          <w:trHeight w:val="265"/>
        </w:trPr>
        <w:tc>
          <w:tcPr>
            <w:tcW w:w="4253" w:type="dxa"/>
            <w:tcBorders>
              <w:top w:val="nil"/>
              <w:left w:val="double" w:sz="6" w:space="0" w:color="auto"/>
              <w:bottom w:val="single" w:sz="4" w:space="0" w:color="auto"/>
              <w:right w:val="double" w:sz="6" w:space="0" w:color="auto"/>
            </w:tcBorders>
            <w:shd w:val="clear" w:color="auto" w:fill="auto"/>
            <w:vAlign w:val="center"/>
            <w:hideMark/>
          </w:tcPr>
          <w:p w:rsidR="007C50D0" w:rsidRPr="007C50D0" w:rsidRDefault="007C50D0" w:rsidP="008619A6">
            <w:pPr>
              <w:contextualSpacing/>
              <w:rPr>
                <w:color w:val="000000"/>
                <w:sz w:val="24"/>
                <w:szCs w:val="24"/>
              </w:rPr>
            </w:pPr>
            <w:r w:rsidRPr="007C50D0">
              <w:rPr>
                <w:color w:val="000000"/>
                <w:sz w:val="24"/>
                <w:szCs w:val="24"/>
              </w:rPr>
              <w:t>к ограничению свободы</w:t>
            </w:r>
          </w:p>
        </w:tc>
        <w:tc>
          <w:tcPr>
            <w:tcW w:w="960" w:type="dxa"/>
            <w:tcBorders>
              <w:top w:val="nil"/>
              <w:left w:val="nil"/>
              <w:bottom w:val="single" w:sz="4" w:space="0" w:color="auto"/>
              <w:right w:val="nil"/>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17</w:t>
            </w:r>
          </w:p>
        </w:tc>
        <w:tc>
          <w:tcPr>
            <w:tcW w:w="883" w:type="dxa"/>
            <w:tcBorders>
              <w:top w:val="nil"/>
              <w:left w:val="single" w:sz="8" w:space="0" w:color="auto"/>
              <w:bottom w:val="single"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10</w:t>
            </w:r>
          </w:p>
        </w:tc>
        <w:tc>
          <w:tcPr>
            <w:tcW w:w="992" w:type="dxa"/>
            <w:tcBorders>
              <w:top w:val="nil"/>
              <w:left w:val="nil"/>
              <w:bottom w:val="single"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12</w:t>
            </w:r>
          </w:p>
        </w:tc>
        <w:tc>
          <w:tcPr>
            <w:tcW w:w="992" w:type="dxa"/>
            <w:tcBorders>
              <w:top w:val="nil"/>
              <w:left w:val="nil"/>
              <w:bottom w:val="single" w:sz="4"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10</w:t>
            </w:r>
          </w:p>
        </w:tc>
        <w:tc>
          <w:tcPr>
            <w:tcW w:w="992" w:type="dxa"/>
            <w:tcBorders>
              <w:top w:val="nil"/>
              <w:left w:val="nil"/>
              <w:bottom w:val="single" w:sz="4" w:space="0" w:color="auto"/>
              <w:right w:val="double" w:sz="6"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22</w:t>
            </w:r>
          </w:p>
        </w:tc>
      </w:tr>
      <w:tr w:rsidR="007C50D0" w:rsidRPr="007C50D0" w:rsidTr="00A0574E">
        <w:trPr>
          <w:trHeight w:val="127"/>
        </w:trPr>
        <w:tc>
          <w:tcPr>
            <w:tcW w:w="4253" w:type="dxa"/>
            <w:tcBorders>
              <w:top w:val="nil"/>
              <w:left w:val="double" w:sz="6" w:space="0" w:color="auto"/>
              <w:bottom w:val="double" w:sz="6" w:space="0" w:color="auto"/>
              <w:right w:val="double" w:sz="6" w:space="0" w:color="auto"/>
            </w:tcBorders>
            <w:shd w:val="clear" w:color="auto" w:fill="auto"/>
            <w:vAlign w:val="center"/>
            <w:hideMark/>
          </w:tcPr>
          <w:p w:rsidR="007C50D0" w:rsidRPr="007C50D0" w:rsidRDefault="007C50D0" w:rsidP="008619A6">
            <w:pPr>
              <w:contextualSpacing/>
              <w:rPr>
                <w:color w:val="000000"/>
                <w:sz w:val="24"/>
                <w:szCs w:val="24"/>
              </w:rPr>
            </w:pPr>
            <w:r w:rsidRPr="007C50D0">
              <w:rPr>
                <w:color w:val="000000"/>
                <w:sz w:val="24"/>
                <w:szCs w:val="24"/>
              </w:rPr>
              <w:t>освобождено от наказания</w:t>
            </w:r>
          </w:p>
        </w:tc>
        <w:tc>
          <w:tcPr>
            <w:tcW w:w="960"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w:t>
            </w:r>
          </w:p>
        </w:tc>
        <w:tc>
          <w:tcPr>
            <w:tcW w:w="883"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1</w:t>
            </w:r>
          </w:p>
        </w:tc>
        <w:tc>
          <w:tcPr>
            <w:tcW w:w="992"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0</w:t>
            </w:r>
          </w:p>
        </w:tc>
        <w:tc>
          <w:tcPr>
            <w:tcW w:w="992" w:type="dxa"/>
            <w:tcBorders>
              <w:top w:val="nil"/>
              <w:left w:val="nil"/>
              <w:bottom w:val="double" w:sz="6" w:space="0" w:color="auto"/>
              <w:right w:val="single" w:sz="8" w:space="0" w:color="auto"/>
            </w:tcBorders>
            <w:shd w:val="clear" w:color="auto" w:fill="auto"/>
            <w:vAlign w:val="center"/>
            <w:hideMark/>
          </w:tcPr>
          <w:p w:rsidR="007C50D0" w:rsidRPr="007C50D0" w:rsidRDefault="007C50D0" w:rsidP="008619A6">
            <w:pPr>
              <w:contextualSpacing/>
              <w:jc w:val="center"/>
              <w:rPr>
                <w:bCs/>
                <w:i/>
                <w:iCs/>
                <w:color w:val="000000"/>
                <w:sz w:val="24"/>
                <w:szCs w:val="24"/>
              </w:rPr>
            </w:pPr>
            <w:r w:rsidRPr="007C50D0">
              <w:rPr>
                <w:bCs/>
                <w:i/>
                <w:iCs/>
                <w:color w:val="000000"/>
                <w:sz w:val="24"/>
                <w:szCs w:val="24"/>
              </w:rPr>
              <w:t>5</w:t>
            </w:r>
          </w:p>
        </w:tc>
        <w:tc>
          <w:tcPr>
            <w:tcW w:w="992" w:type="dxa"/>
            <w:tcBorders>
              <w:top w:val="nil"/>
              <w:left w:val="nil"/>
              <w:bottom w:val="double" w:sz="6" w:space="0" w:color="auto"/>
              <w:right w:val="double" w:sz="6" w:space="0" w:color="auto"/>
            </w:tcBorders>
            <w:shd w:val="clear" w:color="auto" w:fill="auto"/>
            <w:vAlign w:val="center"/>
          </w:tcPr>
          <w:p w:rsidR="007C50D0" w:rsidRPr="007C50D0" w:rsidRDefault="007C50D0" w:rsidP="008619A6">
            <w:pPr>
              <w:contextualSpacing/>
              <w:jc w:val="center"/>
              <w:rPr>
                <w:bCs/>
                <w:i/>
                <w:iCs/>
                <w:color w:val="000000"/>
                <w:sz w:val="24"/>
                <w:szCs w:val="24"/>
              </w:rPr>
            </w:pPr>
            <w:r w:rsidRPr="007C50D0">
              <w:rPr>
                <w:bCs/>
                <w:i/>
                <w:iCs/>
                <w:color w:val="000000"/>
                <w:sz w:val="24"/>
                <w:szCs w:val="24"/>
              </w:rPr>
              <w:t>2</w:t>
            </w:r>
          </w:p>
        </w:tc>
      </w:tr>
    </w:tbl>
    <w:p w:rsidR="007C50D0" w:rsidRPr="007C50D0" w:rsidRDefault="007C50D0" w:rsidP="008619A6">
      <w:pPr>
        <w:ind w:firstLine="680"/>
        <w:contextualSpacing/>
        <w:jc w:val="both"/>
        <w:rPr>
          <w:sz w:val="28"/>
          <w:szCs w:val="28"/>
          <w:highlight w:val="yellow"/>
        </w:rPr>
      </w:pPr>
      <w:r w:rsidRPr="007C50D0">
        <w:rPr>
          <w:sz w:val="28"/>
          <w:szCs w:val="28"/>
        </w:rPr>
        <w:t>Наибольший удельный вес среди мер наказания, назначенных осужденным по данной категории дел, приходится на лишение свободы на определенный срок. Доля лиц с таким наказанием увеличилась на 11,7% в 2017 году и составила 43,2% , или 818 человек.</w:t>
      </w:r>
      <w:r w:rsidRPr="007C50D0">
        <w:rPr>
          <w:sz w:val="28"/>
          <w:szCs w:val="28"/>
          <w:highlight w:val="yellow"/>
        </w:rPr>
        <w:t xml:space="preserve"> </w:t>
      </w:r>
    </w:p>
    <w:p w:rsidR="007C50D0" w:rsidRPr="007C50D0" w:rsidRDefault="007C50D0" w:rsidP="008619A6">
      <w:pPr>
        <w:ind w:firstLine="680"/>
        <w:contextualSpacing/>
        <w:jc w:val="both"/>
        <w:rPr>
          <w:sz w:val="28"/>
          <w:szCs w:val="28"/>
        </w:rPr>
      </w:pPr>
      <w:r w:rsidRPr="007C50D0">
        <w:rPr>
          <w:sz w:val="28"/>
          <w:szCs w:val="28"/>
        </w:rPr>
        <w:t xml:space="preserve">В 2017 году по сравнению с 2016 годом произошло увеличение (на 24,4%) числа лиц, которым назначена условная мера наказания. </w:t>
      </w:r>
    </w:p>
    <w:p w:rsidR="007C50D0" w:rsidRDefault="007C50D0" w:rsidP="008619A6">
      <w:pPr>
        <w:ind w:firstLine="680"/>
        <w:contextualSpacing/>
        <w:jc w:val="both"/>
        <w:rPr>
          <w:sz w:val="28"/>
          <w:szCs w:val="28"/>
        </w:rPr>
      </w:pPr>
      <w:r w:rsidRPr="007C50D0">
        <w:rPr>
          <w:sz w:val="28"/>
          <w:szCs w:val="28"/>
        </w:rPr>
        <w:t xml:space="preserve">Таблица </w:t>
      </w:r>
      <w:r w:rsidR="00A0574E">
        <w:rPr>
          <w:sz w:val="28"/>
          <w:szCs w:val="28"/>
        </w:rPr>
        <w:t>52</w:t>
      </w:r>
      <w:r w:rsidRPr="007C50D0">
        <w:rPr>
          <w:sz w:val="28"/>
          <w:szCs w:val="28"/>
        </w:rPr>
        <w:t xml:space="preserve"> демонстрирует количественный и качественный характер изменения применяемых мер наказания к лицам, осужденным за незаконный оборот наркотических средств по статьям 228-234 УК РФ. </w:t>
      </w:r>
    </w:p>
    <w:p w:rsidR="00663894" w:rsidRPr="007C50D0" w:rsidRDefault="00663894" w:rsidP="00663894">
      <w:pPr>
        <w:contextualSpacing/>
        <w:jc w:val="center"/>
        <w:rPr>
          <w:sz w:val="24"/>
          <w:szCs w:val="24"/>
        </w:rPr>
      </w:pPr>
      <w:r>
        <w:rPr>
          <w:sz w:val="24"/>
          <w:szCs w:val="24"/>
        </w:rPr>
        <w:t xml:space="preserve">                                                                                                                       </w:t>
      </w:r>
      <w:r w:rsidRPr="007C50D0">
        <w:rPr>
          <w:sz w:val="24"/>
          <w:szCs w:val="24"/>
        </w:rPr>
        <w:t xml:space="preserve">Таблица </w:t>
      </w:r>
      <w:r>
        <w:rPr>
          <w:sz w:val="24"/>
          <w:szCs w:val="24"/>
        </w:rPr>
        <w:t>5</w:t>
      </w:r>
      <w:r w:rsidR="00A31717">
        <w:rPr>
          <w:sz w:val="24"/>
          <w:szCs w:val="24"/>
        </w:rPr>
        <w:t>2</w:t>
      </w:r>
    </w:p>
    <w:tbl>
      <w:tblPr>
        <w:tblW w:w="9355" w:type="dxa"/>
        <w:tblInd w:w="108" w:type="dxa"/>
        <w:tblLayout w:type="fixed"/>
        <w:tblLook w:val="04A0" w:firstRow="1" w:lastRow="0" w:firstColumn="1" w:lastColumn="0" w:noHBand="0" w:noVBand="1"/>
      </w:tblPr>
      <w:tblGrid>
        <w:gridCol w:w="4536"/>
        <w:gridCol w:w="960"/>
        <w:gridCol w:w="1024"/>
        <w:gridCol w:w="992"/>
        <w:gridCol w:w="992"/>
        <w:gridCol w:w="851"/>
      </w:tblGrid>
      <w:tr w:rsidR="00A0574E" w:rsidRPr="007C50D0" w:rsidTr="00A0574E">
        <w:trPr>
          <w:trHeight w:val="589"/>
        </w:trPr>
        <w:tc>
          <w:tcPr>
            <w:tcW w:w="9355" w:type="dxa"/>
            <w:gridSpan w:val="6"/>
            <w:tcBorders>
              <w:top w:val="double" w:sz="6" w:space="0" w:color="auto"/>
              <w:left w:val="double" w:sz="6" w:space="0" w:color="auto"/>
              <w:bottom w:val="single" w:sz="8" w:space="0" w:color="auto"/>
              <w:right w:val="double" w:sz="6" w:space="0" w:color="000000"/>
            </w:tcBorders>
            <w:shd w:val="clear" w:color="auto" w:fill="auto"/>
            <w:vAlign w:val="center"/>
            <w:hideMark/>
          </w:tcPr>
          <w:p w:rsidR="00A0574E" w:rsidRPr="007C50D0" w:rsidRDefault="00A0574E" w:rsidP="009465FD">
            <w:pPr>
              <w:contextualSpacing/>
              <w:jc w:val="center"/>
              <w:rPr>
                <w:b/>
                <w:bCs/>
                <w:color w:val="000000"/>
                <w:sz w:val="24"/>
                <w:szCs w:val="24"/>
              </w:rPr>
            </w:pPr>
            <w:r w:rsidRPr="007C50D0">
              <w:rPr>
                <w:b/>
                <w:bCs/>
                <w:color w:val="000000"/>
                <w:sz w:val="24"/>
                <w:szCs w:val="24"/>
              </w:rPr>
              <w:t>Динамика судимости  по преступлениям, связанным с незаконным оборотом наркотических средств (</w:t>
            </w:r>
            <w:proofErr w:type="spellStart"/>
            <w:r w:rsidRPr="007C50D0">
              <w:rPr>
                <w:b/>
                <w:bCs/>
                <w:color w:val="000000"/>
                <w:sz w:val="24"/>
                <w:szCs w:val="24"/>
              </w:rPr>
              <w:t>ст.ст</w:t>
            </w:r>
            <w:proofErr w:type="spellEnd"/>
            <w:r w:rsidRPr="007C50D0">
              <w:rPr>
                <w:b/>
                <w:bCs/>
                <w:color w:val="000000"/>
                <w:sz w:val="24"/>
                <w:szCs w:val="24"/>
              </w:rPr>
              <w:t>. 228-233 УК РФ)</w:t>
            </w:r>
          </w:p>
        </w:tc>
      </w:tr>
      <w:tr w:rsidR="00A0574E" w:rsidRPr="007C50D0" w:rsidTr="00A0574E">
        <w:trPr>
          <w:trHeight w:val="256"/>
        </w:trPr>
        <w:tc>
          <w:tcPr>
            <w:tcW w:w="4536" w:type="dxa"/>
            <w:tcBorders>
              <w:top w:val="nil"/>
              <w:left w:val="double" w:sz="6" w:space="0" w:color="auto"/>
              <w:bottom w:val="double" w:sz="6" w:space="0" w:color="auto"/>
              <w:right w:val="double" w:sz="6" w:space="0" w:color="auto"/>
            </w:tcBorders>
            <w:shd w:val="clear" w:color="auto" w:fill="auto"/>
            <w:vAlign w:val="center"/>
            <w:hideMark/>
          </w:tcPr>
          <w:p w:rsidR="00A0574E" w:rsidRPr="007C50D0" w:rsidRDefault="00A0574E" w:rsidP="009465FD">
            <w:pPr>
              <w:contextualSpacing/>
              <w:rPr>
                <w:b/>
                <w:bCs/>
                <w:color w:val="000000"/>
                <w:sz w:val="24"/>
                <w:szCs w:val="24"/>
              </w:rPr>
            </w:pPr>
            <w:r w:rsidRPr="007C50D0">
              <w:rPr>
                <w:b/>
                <w:bCs/>
                <w:color w:val="000000"/>
                <w:sz w:val="24"/>
                <w:szCs w:val="24"/>
              </w:rPr>
              <w:t> </w:t>
            </w:r>
          </w:p>
        </w:tc>
        <w:tc>
          <w:tcPr>
            <w:tcW w:w="960" w:type="dxa"/>
            <w:tcBorders>
              <w:top w:val="nil"/>
              <w:left w:val="nil"/>
              <w:bottom w:val="double" w:sz="6" w:space="0" w:color="auto"/>
              <w:right w:val="single" w:sz="8" w:space="0" w:color="auto"/>
            </w:tcBorders>
            <w:shd w:val="clear" w:color="auto" w:fill="auto"/>
            <w:vAlign w:val="center"/>
            <w:hideMark/>
          </w:tcPr>
          <w:p w:rsidR="00A0574E" w:rsidRPr="007C50D0" w:rsidRDefault="00A0574E" w:rsidP="009465FD">
            <w:pPr>
              <w:contextualSpacing/>
              <w:jc w:val="center"/>
              <w:rPr>
                <w:b/>
                <w:bCs/>
                <w:color w:val="000000"/>
                <w:sz w:val="24"/>
                <w:szCs w:val="24"/>
              </w:rPr>
            </w:pPr>
            <w:r w:rsidRPr="007C50D0">
              <w:rPr>
                <w:b/>
                <w:bCs/>
                <w:color w:val="000000"/>
                <w:sz w:val="24"/>
                <w:szCs w:val="24"/>
              </w:rPr>
              <w:t>2013</w:t>
            </w:r>
          </w:p>
        </w:tc>
        <w:tc>
          <w:tcPr>
            <w:tcW w:w="1024" w:type="dxa"/>
            <w:tcBorders>
              <w:top w:val="nil"/>
              <w:left w:val="nil"/>
              <w:bottom w:val="double" w:sz="6" w:space="0" w:color="auto"/>
              <w:right w:val="single" w:sz="8" w:space="0" w:color="auto"/>
            </w:tcBorders>
            <w:shd w:val="clear" w:color="auto" w:fill="auto"/>
            <w:vAlign w:val="center"/>
            <w:hideMark/>
          </w:tcPr>
          <w:p w:rsidR="00A0574E" w:rsidRPr="007C50D0" w:rsidRDefault="00A0574E" w:rsidP="009465FD">
            <w:pPr>
              <w:contextualSpacing/>
              <w:jc w:val="center"/>
              <w:rPr>
                <w:b/>
                <w:bCs/>
                <w:color w:val="000000"/>
                <w:sz w:val="24"/>
                <w:szCs w:val="24"/>
              </w:rPr>
            </w:pPr>
            <w:r w:rsidRPr="007C50D0">
              <w:rPr>
                <w:b/>
                <w:bCs/>
                <w:color w:val="000000"/>
                <w:sz w:val="24"/>
                <w:szCs w:val="24"/>
              </w:rPr>
              <w:t>2014</w:t>
            </w:r>
          </w:p>
        </w:tc>
        <w:tc>
          <w:tcPr>
            <w:tcW w:w="992" w:type="dxa"/>
            <w:tcBorders>
              <w:top w:val="nil"/>
              <w:left w:val="nil"/>
              <w:bottom w:val="double" w:sz="6" w:space="0" w:color="auto"/>
              <w:right w:val="single" w:sz="8" w:space="0" w:color="auto"/>
            </w:tcBorders>
            <w:shd w:val="clear" w:color="auto" w:fill="auto"/>
            <w:vAlign w:val="center"/>
            <w:hideMark/>
          </w:tcPr>
          <w:p w:rsidR="00A0574E" w:rsidRPr="007C50D0" w:rsidRDefault="00A0574E" w:rsidP="009465FD">
            <w:pPr>
              <w:contextualSpacing/>
              <w:jc w:val="center"/>
              <w:rPr>
                <w:b/>
                <w:bCs/>
                <w:color w:val="000000"/>
                <w:sz w:val="24"/>
                <w:szCs w:val="24"/>
              </w:rPr>
            </w:pPr>
            <w:r w:rsidRPr="007C50D0">
              <w:rPr>
                <w:b/>
                <w:bCs/>
                <w:color w:val="000000"/>
                <w:sz w:val="24"/>
                <w:szCs w:val="24"/>
              </w:rPr>
              <w:t>2015</w:t>
            </w:r>
          </w:p>
        </w:tc>
        <w:tc>
          <w:tcPr>
            <w:tcW w:w="992" w:type="dxa"/>
            <w:tcBorders>
              <w:top w:val="nil"/>
              <w:left w:val="nil"/>
              <w:bottom w:val="double" w:sz="6" w:space="0" w:color="auto"/>
              <w:right w:val="single" w:sz="8" w:space="0" w:color="auto"/>
            </w:tcBorders>
            <w:shd w:val="clear" w:color="auto" w:fill="auto"/>
            <w:vAlign w:val="center"/>
            <w:hideMark/>
          </w:tcPr>
          <w:p w:rsidR="00A0574E" w:rsidRPr="007C50D0" w:rsidRDefault="00A0574E" w:rsidP="009465FD">
            <w:pPr>
              <w:contextualSpacing/>
              <w:jc w:val="center"/>
              <w:rPr>
                <w:b/>
                <w:bCs/>
                <w:color w:val="000000"/>
                <w:sz w:val="24"/>
                <w:szCs w:val="24"/>
              </w:rPr>
            </w:pPr>
            <w:r w:rsidRPr="007C50D0">
              <w:rPr>
                <w:b/>
                <w:bCs/>
                <w:color w:val="000000"/>
                <w:sz w:val="24"/>
                <w:szCs w:val="24"/>
              </w:rPr>
              <w:t>2016</w:t>
            </w:r>
          </w:p>
        </w:tc>
        <w:tc>
          <w:tcPr>
            <w:tcW w:w="851" w:type="dxa"/>
            <w:tcBorders>
              <w:top w:val="nil"/>
              <w:left w:val="nil"/>
              <w:bottom w:val="double" w:sz="6" w:space="0" w:color="auto"/>
              <w:right w:val="double" w:sz="6" w:space="0" w:color="auto"/>
            </w:tcBorders>
            <w:shd w:val="clear" w:color="auto" w:fill="auto"/>
            <w:vAlign w:val="center"/>
            <w:hideMark/>
          </w:tcPr>
          <w:p w:rsidR="00A0574E" w:rsidRPr="007C50D0" w:rsidRDefault="00A0574E" w:rsidP="009465FD">
            <w:pPr>
              <w:contextualSpacing/>
              <w:jc w:val="center"/>
              <w:rPr>
                <w:b/>
                <w:bCs/>
                <w:color w:val="000000"/>
                <w:sz w:val="24"/>
                <w:szCs w:val="24"/>
              </w:rPr>
            </w:pPr>
            <w:r w:rsidRPr="007C50D0">
              <w:rPr>
                <w:b/>
                <w:bCs/>
                <w:color w:val="000000"/>
                <w:sz w:val="24"/>
                <w:szCs w:val="24"/>
              </w:rPr>
              <w:t>2017</w:t>
            </w:r>
          </w:p>
        </w:tc>
      </w:tr>
      <w:tr w:rsidR="00A0574E" w:rsidRPr="007C50D0" w:rsidTr="00A0574E">
        <w:trPr>
          <w:trHeight w:val="220"/>
        </w:trPr>
        <w:tc>
          <w:tcPr>
            <w:tcW w:w="4536" w:type="dxa"/>
            <w:tcBorders>
              <w:top w:val="nil"/>
              <w:left w:val="double" w:sz="6" w:space="0" w:color="auto"/>
              <w:bottom w:val="dotted" w:sz="4" w:space="0" w:color="auto"/>
              <w:right w:val="double" w:sz="6" w:space="0" w:color="auto"/>
            </w:tcBorders>
            <w:shd w:val="clear" w:color="auto" w:fill="auto"/>
            <w:vAlign w:val="center"/>
            <w:hideMark/>
          </w:tcPr>
          <w:p w:rsidR="00A0574E" w:rsidRPr="007C50D0" w:rsidRDefault="00A0574E" w:rsidP="009465FD">
            <w:pPr>
              <w:contextualSpacing/>
              <w:rPr>
                <w:b/>
                <w:bCs/>
                <w:color w:val="000000"/>
                <w:sz w:val="24"/>
                <w:szCs w:val="24"/>
              </w:rPr>
            </w:pPr>
            <w:r w:rsidRPr="007C50D0">
              <w:rPr>
                <w:b/>
                <w:bCs/>
                <w:color w:val="000000"/>
                <w:sz w:val="24"/>
                <w:szCs w:val="24"/>
              </w:rPr>
              <w:t>Всего осуждено</w:t>
            </w:r>
          </w:p>
        </w:tc>
        <w:tc>
          <w:tcPr>
            <w:tcW w:w="960"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2080</w:t>
            </w:r>
          </w:p>
        </w:tc>
        <w:tc>
          <w:tcPr>
            <w:tcW w:w="1024"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2067</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2143</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1670</w:t>
            </w:r>
          </w:p>
        </w:tc>
        <w:tc>
          <w:tcPr>
            <w:tcW w:w="851" w:type="dxa"/>
            <w:tcBorders>
              <w:top w:val="nil"/>
              <w:left w:val="nil"/>
              <w:bottom w:val="dotted" w:sz="4" w:space="0" w:color="auto"/>
              <w:right w:val="double" w:sz="6" w:space="0" w:color="auto"/>
            </w:tcBorders>
            <w:shd w:val="clear" w:color="auto" w:fill="auto"/>
            <w:vAlign w:val="center"/>
          </w:tcPr>
          <w:p w:rsidR="00A0574E" w:rsidRPr="007C50D0" w:rsidRDefault="00A0574E" w:rsidP="009465FD">
            <w:pPr>
              <w:contextualSpacing/>
              <w:jc w:val="center"/>
              <w:rPr>
                <w:bCs/>
                <w:i/>
                <w:iCs/>
                <w:color w:val="000000"/>
                <w:sz w:val="24"/>
                <w:szCs w:val="24"/>
              </w:rPr>
            </w:pPr>
            <w:r w:rsidRPr="007C50D0">
              <w:rPr>
                <w:bCs/>
                <w:i/>
                <w:iCs/>
                <w:color w:val="000000"/>
                <w:sz w:val="24"/>
                <w:szCs w:val="24"/>
              </w:rPr>
              <w:t>1890</w:t>
            </w:r>
          </w:p>
        </w:tc>
      </w:tr>
      <w:tr w:rsidR="00A0574E" w:rsidRPr="007C50D0" w:rsidTr="00A0574E">
        <w:trPr>
          <w:trHeight w:val="975"/>
        </w:trPr>
        <w:tc>
          <w:tcPr>
            <w:tcW w:w="4536" w:type="dxa"/>
            <w:tcBorders>
              <w:top w:val="nil"/>
              <w:left w:val="double" w:sz="6" w:space="0" w:color="auto"/>
              <w:bottom w:val="dotted" w:sz="4" w:space="0" w:color="auto"/>
              <w:right w:val="double" w:sz="6" w:space="0" w:color="auto"/>
            </w:tcBorders>
            <w:shd w:val="clear" w:color="auto" w:fill="auto"/>
            <w:vAlign w:val="center"/>
            <w:hideMark/>
          </w:tcPr>
          <w:p w:rsidR="00A0574E" w:rsidRPr="007C50D0" w:rsidRDefault="00A0574E" w:rsidP="009465FD">
            <w:pPr>
              <w:contextualSpacing/>
              <w:rPr>
                <w:i/>
                <w:iCs/>
                <w:color w:val="000000"/>
                <w:sz w:val="24"/>
                <w:szCs w:val="24"/>
              </w:rPr>
            </w:pPr>
            <w:r w:rsidRPr="007C50D0">
              <w:rPr>
                <w:i/>
                <w:iCs/>
                <w:color w:val="000000"/>
                <w:sz w:val="24"/>
                <w:szCs w:val="24"/>
              </w:rPr>
              <w:t xml:space="preserve">в том числе </w:t>
            </w:r>
            <w:proofErr w:type="gramStart"/>
            <w:r w:rsidRPr="007C50D0">
              <w:rPr>
                <w:i/>
                <w:iCs/>
                <w:color w:val="000000"/>
                <w:sz w:val="24"/>
                <w:szCs w:val="24"/>
              </w:rPr>
              <w:t>за</w:t>
            </w:r>
            <w:proofErr w:type="gramEnd"/>
            <w:r w:rsidRPr="007C50D0">
              <w:rPr>
                <w:i/>
                <w:iCs/>
                <w:color w:val="000000"/>
                <w:sz w:val="24"/>
                <w:szCs w:val="24"/>
              </w:rPr>
              <w:t>:</w:t>
            </w:r>
          </w:p>
          <w:p w:rsidR="00A0574E" w:rsidRPr="007C50D0" w:rsidRDefault="00A0574E" w:rsidP="009465FD">
            <w:pPr>
              <w:contextualSpacing/>
              <w:rPr>
                <w:i/>
                <w:iCs/>
                <w:color w:val="000000"/>
                <w:sz w:val="24"/>
                <w:szCs w:val="24"/>
              </w:rPr>
            </w:pPr>
            <w:r w:rsidRPr="007C50D0">
              <w:rPr>
                <w:color w:val="000000"/>
                <w:sz w:val="24"/>
                <w:szCs w:val="24"/>
              </w:rPr>
              <w:t>незаконное изготовление, приобретение, хранение, перевозку, пересылку либо сбыт (ст. 228.1)</w:t>
            </w:r>
          </w:p>
        </w:tc>
        <w:tc>
          <w:tcPr>
            <w:tcW w:w="960"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445</w:t>
            </w:r>
          </w:p>
        </w:tc>
        <w:tc>
          <w:tcPr>
            <w:tcW w:w="1024"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442</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454</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357</w:t>
            </w:r>
          </w:p>
        </w:tc>
        <w:tc>
          <w:tcPr>
            <w:tcW w:w="851" w:type="dxa"/>
            <w:tcBorders>
              <w:top w:val="nil"/>
              <w:left w:val="nil"/>
              <w:bottom w:val="dotted" w:sz="4" w:space="0" w:color="auto"/>
              <w:right w:val="double" w:sz="6" w:space="0" w:color="auto"/>
            </w:tcBorders>
            <w:shd w:val="clear" w:color="auto" w:fill="auto"/>
            <w:vAlign w:val="center"/>
          </w:tcPr>
          <w:p w:rsidR="00A0574E" w:rsidRPr="007C50D0" w:rsidRDefault="00A0574E" w:rsidP="009465FD">
            <w:pPr>
              <w:contextualSpacing/>
              <w:jc w:val="center"/>
              <w:rPr>
                <w:bCs/>
                <w:i/>
                <w:iCs/>
                <w:color w:val="000000"/>
                <w:sz w:val="24"/>
                <w:szCs w:val="24"/>
              </w:rPr>
            </w:pPr>
            <w:r w:rsidRPr="007C50D0">
              <w:rPr>
                <w:bCs/>
                <w:i/>
                <w:iCs/>
                <w:color w:val="000000"/>
                <w:sz w:val="24"/>
                <w:szCs w:val="24"/>
              </w:rPr>
              <w:t>402</w:t>
            </w:r>
          </w:p>
        </w:tc>
      </w:tr>
      <w:tr w:rsidR="00A0574E" w:rsidRPr="007C50D0" w:rsidTr="00A0574E">
        <w:trPr>
          <w:trHeight w:val="140"/>
        </w:trPr>
        <w:tc>
          <w:tcPr>
            <w:tcW w:w="4536" w:type="dxa"/>
            <w:tcBorders>
              <w:top w:val="nil"/>
              <w:left w:val="double" w:sz="6" w:space="0" w:color="auto"/>
              <w:bottom w:val="dotted" w:sz="4" w:space="0" w:color="auto"/>
              <w:right w:val="double" w:sz="6" w:space="0" w:color="auto"/>
            </w:tcBorders>
            <w:shd w:val="clear" w:color="auto" w:fill="auto"/>
            <w:vAlign w:val="center"/>
            <w:hideMark/>
          </w:tcPr>
          <w:p w:rsidR="00A0574E" w:rsidRPr="007C50D0" w:rsidRDefault="00A0574E" w:rsidP="009465FD">
            <w:pPr>
              <w:contextualSpacing/>
              <w:rPr>
                <w:color w:val="000000"/>
                <w:sz w:val="24"/>
                <w:szCs w:val="24"/>
              </w:rPr>
            </w:pPr>
            <w:r w:rsidRPr="007C50D0">
              <w:rPr>
                <w:color w:val="000000"/>
                <w:sz w:val="24"/>
                <w:szCs w:val="24"/>
              </w:rPr>
              <w:t>то же - без цели сбыта (ст. 228 УК РФ)</w:t>
            </w:r>
          </w:p>
        </w:tc>
        <w:tc>
          <w:tcPr>
            <w:tcW w:w="960"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1518</w:t>
            </w:r>
          </w:p>
        </w:tc>
        <w:tc>
          <w:tcPr>
            <w:tcW w:w="1024"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1576</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1643</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1278</w:t>
            </w:r>
          </w:p>
        </w:tc>
        <w:tc>
          <w:tcPr>
            <w:tcW w:w="851" w:type="dxa"/>
            <w:tcBorders>
              <w:top w:val="nil"/>
              <w:left w:val="nil"/>
              <w:bottom w:val="dotted" w:sz="4" w:space="0" w:color="auto"/>
              <w:right w:val="double" w:sz="6" w:space="0" w:color="auto"/>
            </w:tcBorders>
            <w:shd w:val="clear" w:color="auto" w:fill="auto"/>
            <w:vAlign w:val="center"/>
          </w:tcPr>
          <w:p w:rsidR="00A0574E" w:rsidRPr="007C50D0" w:rsidRDefault="00A0574E" w:rsidP="009465FD">
            <w:pPr>
              <w:contextualSpacing/>
              <w:jc w:val="center"/>
              <w:rPr>
                <w:bCs/>
                <w:i/>
                <w:iCs/>
                <w:color w:val="000000"/>
                <w:sz w:val="24"/>
                <w:szCs w:val="24"/>
              </w:rPr>
            </w:pPr>
            <w:r w:rsidRPr="007C50D0">
              <w:rPr>
                <w:bCs/>
                <w:i/>
                <w:iCs/>
                <w:color w:val="000000"/>
                <w:sz w:val="24"/>
                <w:szCs w:val="24"/>
              </w:rPr>
              <w:t>1463</w:t>
            </w:r>
          </w:p>
        </w:tc>
      </w:tr>
      <w:tr w:rsidR="00A0574E" w:rsidRPr="007C50D0" w:rsidTr="00A0574E">
        <w:trPr>
          <w:trHeight w:val="316"/>
        </w:trPr>
        <w:tc>
          <w:tcPr>
            <w:tcW w:w="4536" w:type="dxa"/>
            <w:tcBorders>
              <w:top w:val="nil"/>
              <w:left w:val="double" w:sz="6" w:space="0" w:color="auto"/>
              <w:bottom w:val="single" w:sz="8" w:space="0" w:color="auto"/>
              <w:right w:val="double" w:sz="6" w:space="0" w:color="auto"/>
            </w:tcBorders>
            <w:shd w:val="clear" w:color="auto" w:fill="auto"/>
            <w:vAlign w:val="center"/>
            <w:hideMark/>
          </w:tcPr>
          <w:p w:rsidR="00A0574E" w:rsidRPr="007C50D0" w:rsidRDefault="00A0574E" w:rsidP="009465FD">
            <w:pPr>
              <w:contextualSpacing/>
              <w:rPr>
                <w:color w:val="000000"/>
                <w:sz w:val="24"/>
                <w:szCs w:val="24"/>
              </w:rPr>
            </w:pPr>
            <w:r w:rsidRPr="007C50D0">
              <w:rPr>
                <w:color w:val="000000"/>
                <w:sz w:val="24"/>
                <w:szCs w:val="24"/>
              </w:rPr>
              <w:t>организацию или содержание притонов для потребления (ст. 232)</w:t>
            </w:r>
          </w:p>
        </w:tc>
        <w:tc>
          <w:tcPr>
            <w:tcW w:w="960" w:type="dxa"/>
            <w:tcBorders>
              <w:top w:val="nil"/>
              <w:left w:val="nil"/>
              <w:bottom w:val="single" w:sz="8"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106</w:t>
            </w:r>
          </w:p>
        </w:tc>
        <w:tc>
          <w:tcPr>
            <w:tcW w:w="1024" w:type="dxa"/>
            <w:tcBorders>
              <w:top w:val="nil"/>
              <w:left w:val="nil"/>
              <w:bottom w:val="single" w:sz="8"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38</w:t>
            </w:r>
          </w:p>
        </w:tc>
        <w:tc>
          <w:tcPr>
            <w:tcW w:w="992" w:type="dxa"/>
            <w:tcBorders>
              <w:top w:val="nil"/>
              <w:left w:val="nil"/>
              <w:bottom w:val="single" w:sz="8"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33</w:t>
            </w:r>
          </w:p>
        </w:tc>
        <w:tc>
          <w:tcPr>
            <w:tcW w:w="992" w:type="dxa"/>
            <w:tcBorders>
              <w:top w:val="nil"/>
              <w:left w:val="nil"/>
              <w:bottom w:val="single" w:sz="8"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25</w:t>
            </w:r>
          </w:p>
        </w:tc>
        <w:tc>
          <w:tcPr>
            <w:tcW w:w="851" w:type="dxa"/>
            <w:tcBorders>
              <w:top w:val="nil"/>
              <w:left w:val="nil"/>
              <w:bottom w:val="single" w:sz="8" w:space="0" w:color="auto"/>
              <w:right w:val="double" w:sz="6" w:space="0" w:color="auto"/>
            </w:tcBorders>
            <w:shd w:val="clear" w:color="auto" w:fill="auto"/>
            <w:vAlign w:val="center"/>
          </w:tcPr>
          <w:p w:rsidR="00A0574E" w:rsidRPr="007C50D0" w:rsidRDefault="00A0574E" w:rsidP="009465FD">
            <w:pPr>
              <w:contextualSpacing/>
              <w:jc w:val="center"/>
              <w:rPr>
                <w:bCs/>
                <w:i/>
                <w:iCs/>
                <w:color w:val="000000"/>
                <w:sz w:val="24"/>
                <w:szCs w:val="24"/>
              </w:rPr>
            </w:pPr>
            <w:r w:rsidRPr="007C50D0">
              <w:rPr>
                <w:bCs/>
                <w:i/>
                <w:iCs/>
                <w:color w:val="000000"/>
                <w:sz w:val="24"/>
                <w:szCs w:val="24"/>
              </w:rPr>
              <w:t>18</w:t>
            </w:r>
          </w:p>
        </w:tc>
      </w:tr>
      <w:tr w:rsidR="00A0574E" w:rsidRPr="007C50D0" w:rsidTr="00A0574E">
        <w:trPr>
          <w:trHeight w:val="128"/>
        </w:trPr>
        <w:tc>
          <w:tcPr>
            <w:tcW w:w="4536" w:type="dxa"/>
            <w:tcBorders>
              <w:top w:val="nil"/>
              <w:left w:val="double" w:sz="6" w:space="0" w:color="auto"/>
              <w:bottom w:val="dotted" w:sz="4" w:space="0" w:color="auto"/>
              <w:right w:val="double" w:sz="6" w:space="0" w:color="auto"/>
            </w:tcBorders>
            <w:shd w:val="clear" w:color="auto" w:fill="auto"/>
            <w:vAlign w:val="center"/>
            <w:hideMark/>
          </w:tcPr>
          <w:p w:rsidR="00A0574E" w:rsidRPr="007C50D0" w:rsidRDefault="00A0574E" w:rsidP="009465FD">
            <w:pPr>
              <w:contextualSpacing/>
              <w:rPr>
                <w:b/>
                <w:bCs/>
                <w:color w:val="000000"/>
                <w:sz w:val="24"/>
                <w:szCs w:val="24"/>
              </w:rPr>
            </w:pPr>
            <w:r w:rsidRPr="007C50D0">
              <w:rPr>
                <w:b/>
                <w:bCs/>
                <w:color w:val="000000"/>
                <w:sz w:val="24"/>
                <w:szCs w:val="24"/>
              </w:rPr>
              <w:t>Меры наказания</w:t>
            </w:r>
          </w:p>
        </w:tc>
        <w:tc>
          <w:tcPr>
            <w:tcW w:w="960"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 </w:t>
            </w:r>
          </w:p>
        </w:tc>
        <w:tc>
          <w:tcPr>
            <w:tcW w:w="1024"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 </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 </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 </w:t>
            </w:r>
          </w:p>
        </w:tc>
        <w:tc>
          <w:tcPr>
            <w:tcW w:w="851" w:type="dxa"/>
            <w:tcBorders>
              <w:top w:val="nil"/>
              <w:left w:val="nil"/>
              <w:bottom w:val="dotted" w:sz="4" w:space="0" w:color="auto"/>
              <w:right w:val="double" w:sz="6" w:space="0" w:color="auto"/>
            </w:tcBorders>
            <w:shd w:val="clear" w:color="auto" w:fill="auto"/>
            <w:vAlign w:val="center"/>
          </w:tcPr>
          <w:p w:rsidR="00A0574E" w:rsidRPr="007C50D0" w:rsidRDefault="00A0574E" w:rsidP="009465FD">
            <w:pPr>
              <w:contextualSpacing/>
              <w:jc w:val="center"/>
              <w:rPr>
                <w:bCs/>
                <w:i/>
                <w:iCs/>
                <w:color w:val="000000"/>
                <w:sz w:val="24"/>
                <w:szCs w:val="24"/>
              </w:rPr>
            </w:pPr>
          </w:p>
        </w:tc>
      </w:tr>
      <w:tr w:rsidR="00A0574E" w:rsidRPr="007C50D0" w:rsidTr="00A0574E">
        <w:trPr>
          <w:trHeight w:val="128"/>
        </w:trPr>
        <w:tc>
          <w:tcPr>
            <w:tcW w:w="4536" w:type="dxa"/>
            <w:tcBorders>
              <w:top w:val="nil"/>
              <w:left w:val="double" w:sz="6" w:space="0" w:color="auto"/>
              <w:bottom w:val="dotted" w:sz="4" w:space="0" w:color="auto"/>
              <w:right w:val="double" w:sz="6" w:space="0" w:color="auto"/>
            </w:tcBorders>
            <w:shd w:val="clear" w:color="auto" w:fill="auto"/>
            <w:vAlign w:val="center"/>
            <w:hideMark/>
          </w:tcPr>
          <w:p w:rsidR="00A0574E" w:rsidRPr="007C50D0" w:rsidRDefault="00A0574E" w:rsidP="009465FD">
            <w:pPr>
              <w:contextualSpacing/>
              <w:rPr>
                <w:color w:val="000000"/>
                <w:sz w:val="24"/>
                <w:szCs w:val="24"/>
              </w:rPr>
            </w:pPr>
            <w:r w:rsidRPr="007C50D0">
              <w:rPr>
                <w:color w:val="000000"/>
                <w:sz w:val="24"/>
                <w:szCs w:val="24"/>
              </w:rPr>
              <w:t>к лишению свободы</w:t>
            </w:r>
          </w:p>
        </w:tc>
        <w:tc>
          <w:tcPr>
            <w:tcW w:w="960"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841</w:t>
            </w:r>
          </w:p>
        </w:tc>
        <w:tc>
          <w:tcPr>
            <w:tcW w:w="1024"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846</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932</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732</w:t>
            </w:r>
          </w:p>
        </w:tc>
        <w:tc>
          <w:tcPr>
            <w:tcW w:w="851" w:type="dxa"/>
            <w:tcBorders>
              <w:top w:val="nil"/>
              <w:left w:val="nil"/>
              <w:bottom w:val="dotted" w:sz="4" w:space="0" w:color="auto"/>
              <w:right w:val="double" w:sz="6" w:space="0" w:color="auto"/>
            </w:tcBorders>
            <w:shd w:val="clear" w:color="auto" w:fill="auto"/>
            <w:vAlign w:val="center"/>
          </w:tcPr>
          <w:p w:rsidR="00A0574E" w:rsidRPr="007C50D0" w:rsidRDefault="00A0574E" w:rsidP="009465FD">
            <w:pPr>
              <w:contextualSpacing/>
              <w:jc w:val="center"/>
              <w:rPr>
                <w:bCs/>
                <w:i/>
                <w:iCs/>
                <w:color w:val="000000"/>
                <w:sz w:val="24"/>
                <w:szCs w:val="24"/>
              </w:rPr>
            </w:pPr>
            <w:r w:rsidRPr="007C50D0">
              <w:rPr>
                <w:bCs/>
                <w:i/>
                <w:iCs/>
                <w:color w:val="000000"/>
                <w:sz w:val="24"/>
                <w:szCs w:val="24"/>
              </w:rPr>
              <w:t>815</w:t>
            </w:r>
          </w:p>
        </w:tc>
      </w:tr>
      <w:tr w:rsidR="00A0574E" w:rsidRPr="007C50D0" w:rsidTr="00A0574E">
        <w:trPr>
          <w:trHeight w:val="62"/>
        </w:trPr>
        <w:tc>
          <w:tcPr>
            <w:tcW w:w="4536" w:type="dxa"/>
            <w:tcBorders>
              <w:top w:val="nil"/>
              <w:left w:val="double" w:sz="6" w:space="0" w:color="auto"/>
              <w:bottom w:val="dotted" w:sz="4" w:space="0" w:color="auto"/>
              <w:right w:val="double" w:sz="6" w:space="0" w:color="auto"/>
            </w:tcBorders>
            <w:shd w:val="clear" w:color="auto" w:fill="auto"/>
            <w:vAlign w:val="center"/>
            <w:hideMark/>
          </w:tcPr>
          <w:p w:rsidR="00A0574E" w:rsidRPr="007C50D0" w:rsidRDefault="00A0574E" w:rsidP="009465FD">
            <w:pPr>
              <w:contextualSpacing/>
              <w:rPr>
                <w:color w:val="000000"/>
                <w:sz w:val="24"/>
                <w:szCs w:val="24"/>
              </w:rPr>
            </w:pPr>
            <w:r w:rsidRPr="007C50D0">
              <w:rPr>
                <w:color w:val="000000"/>
                <w:sz w:val="24"/>
                <w:szCs w:val="24"/>
              </w:rPr>
              <w:t>условно с испытательным сроком</w:t>
            </w:r>
          </w:p>
        </w:tc>
        <w:tc>
          <w:tcPr>
            <w:tcW w:w="960"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936</w:t>
            </w:r>
          </w:p>
        </w:tc>
        <w:tc>
          <w:tcPr>
            <w:tcW w:w="1024"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992</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749</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651</w:t>
            </w:r>
          </w:p>
        </w:tc>
        <w:tc>
          <w:tcPr>
            <w:tcW w:w="851" w:type="dxa"/>
            <w:tcBorders>
              <w:top w:val="nil"/>
              <w:left w:val="nil"/>
              <w:bottom w:val="dotted" w:sz="4" w:space="0" w:color="auto"/>
              <w:right w:val="double" w:sz="6" w:space="0" w:color="auto"/>
            </w:tcBorders>
            <w:shd w:val="clear" w:color="auto" w:fill="auto"/>
            <w:vAlign w:val="center"/>
          </w:tcPr>
          <w:p w:rsidR="00A0574E" w:rsidRPr="007C50D0" w:rsidRDefault="00A0574E" w:rsidP="009465FD">
            <w:pPr>
              <w:contextualSpacing/>
              <w:jc w:val="center"/>
              <w:rPr>
                <w:bCs/>
                <w:i/>
                <w:iCs/>
                <w:color w:val="000000"/>
                <w:sz w:val="24"/>
                <w:szCs w:val="24"/>
              </w:rPr>
            </w:pPr>
            <w:r w:rsidRPr="007C50D0">
              <w:rPr>
                <w:bCs/>
                <w:i/>
                <w:iCs/>
                <w:color w:val="000000"/>
                <w:sz w:val="24"/>
                <w:szCs w:val="24"/>
              </w:rPr>
              <w:t>804</w:t>
            </w:r>
          </w:p>
        </w:tc>
      </w:tr>
      <w:tr w:rsidR="00A0574E" w:rsidRPr="007C50D0" w:rsidTr="00A0574E">
        <w:trPr>
          <w:trHeight w:val="62"/>
        </w:trPr>
        <w:tc>
          <w:tcPr>
            <w:tcW w:w="4536" w:type="dxa"/>
            <w:tcBorders>
              <w:top w:val="nil"/>
              <w:left w:val="double" w:sz="6" w:space="0" w:color="auto"/>
              <w:bottom w:val="dotted" w:sz="4" w:space="0" w:color="auto"/>
              <w:right w:val="double" w:sz="6" w:space="0" w:color="auto"/>
            </w:tcBorders>
            <w:shd w:val="clear" w:color="auto" w:fill="auto"/>
            <w:vAlign w:val="center"/>
            <w:hideMark/>
          </w:tcPr>
          <w:p w:rsidR="00A0574E" w:rsidRPr="007C50D0" w:rsidRDefault="00A0574E" w:rsidP="009465FD">
            <w:pPr>
              <w:contextualSpacing/>
              <w:rPr>
                <w:color w:val="000000"/>
                <w:sz w:val="24"/>
                <w:szCs w:val="24"/>
              </w:rPr>
            </w:pPr>
            <w:r w:rsidRPr="007C50D0">
              <w:rPr>
                <w:color w:val="000000"/>
                <w:sz w:val="24"/>
                <w:szCs w:val="24"/>
              </w:rPr>
              <w:t>к исправительным работам и штрафу</w:t>
            </w:r>
          </w:p>
        </w:tc>
        <w:tc>
          <w:tcPr>
            <w:tcW w:w="960"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231</w:t>
            </w:r>
          </w:p>
        </w:tc>
        <w:tc>
          <w:tcPr>
            <w:tcW w:w="1024"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172</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123</w:t>
            </w:r>
          </w:p>
        </w:tc>
        <w:tc>
          <w:tcPr>
            <w:tcW w:w="992" w:type="dxa"/>
            <w:tcBorders>
              <w:top w:val="nil"/>
              <w:left w:val="nil"/>
              <w:bottom w:val="dotted" w:sz="4"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38</w:t>
            </w:r>
          </w:p>
        </w:tc>
        <w:tc>
          <w:tcPr>
            <w:tcW w:w="851" w:type="dxa"/>
            <w:tcBorders>
              <w:top w:val="nil"/>
              <w:left w:val="nil"/>
              <w:bottom w:val="dotted" w:sz="4" w:space="0" w:color="auto"/>
              <w:right w:val="double" w:sz="6" w:space="0" w:color="auto"/>
            </w:tcBorders>
            <w:shd w:val="clear" w:color="auto" w:fill="auto"/>
            <w:vAlign w:val="center"/>
          </w:tcPr>
          <w:p w:rsidR="00A0574E" w:rsidRPr="007C50D0" w:rsidRDefault="00A0574E" w:rsidP="009465FD">
            <w:pPr>
              <w:contextualSpacing/>
              <w:jc w:val="center"/>
              <w:rPr>
                <w:bCs/>
                <w:i/>
                <w:iCs/>
                <w:color w:val="000000"/>
                <w:sz w:val="24"/>
                <w:szCs w:val="24"/>
              </w:rPr>
            </w:pPr>
            <w:r w:rsidRPr="007C50D0">
              <w:rPr>
                <w:bCs/>
                <w:i/>
                <w:iCs/>
                <w:color w:val="000000"/>
                <w:sz w:val="24"/>
                <w:szCs w:val="24"/>
              </w:rPr>
              <w:t>32</w:t>
            </w:r>
          </w:p>
        </w:tc>
      </w:tr>
      <w:tr w:rsidR="00A0574E" w:rsidRPr="007C50D0" w:rsidTr="00A0574E">
        <w:trPr>
          <w:trHeight w:val="126"/>
        </w:trPr>
        <w:tc>
          <w:tcPr>
            <w:tcW w:w="4536" w:type="dxa"/>
            <w:tcBorders>
              <w:top w:val="nil"/>
              <w:left w:val="double" w:sz="6" w:space="0" w:color="auto"/>
              <w:bottom w:val="double" w:sz="6" w:space="0" w:color="auto"/>
              <w:right w:val="double" w:sz="6" w:space="0" w:color="auto"/>
            </w:tcBorders>
            <w:shd w:val="clear" w:color="auto" w:fill="auto"/>
            <w:vAlign w:val="center"/>
            <w:hideMark/>
          </w:tcPr>
          <w:p w:rsidR="00A0574E" w:rsidRPr="007C50D0" w:rsidRDefault="00A0574E" w:rsidP="009465FD">
            <w:pPr>
              <w:contextualSpacing/>
              <w:rPr>
                <w:color w:val="000000"/>
                <w:sz w:val="24"/>
                <w:szCs w:val="24"/>
              </w:rPr>
            </w:pPr>
            <w:r w:rsidRPr="007C50D0">
              <w:rPr>
                <w:color w:val="000000"/>
                <w:sz w:val="24"/>
                <w:szCs w:val="24"/>
              </w:rPr>
              <w:t>к обязательным работам</w:t>
            </w:r>
          </w:p>
        </w:tc>
        <w:tc>
          <w:tcPr>
            <w:tcW w:w="960" w:type="dxa"/>
            <w:tcBorders>
              <w:top w:val="nil"/>
              <w:left w:val="nil"/>
              <w:bottom w:val="double" w:sz="6"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54</w:t>
            </w:r>
          </w:p>
        </w:tc>
        <w:tc>
          <w:tcPr>
            <w:tcW w:w="1024" w:type="dxa"/>
            <w:tcBorders>
              <w:top w:val="nil"/>
              <w:left w:val="nil"/>
              <w:bottom w:val="double" w:sz="6"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47</w:t>
            </w:r>
          </w:p>
        </w:tc>
        <w:tc>
          <w:tcPr>
            <w:tcW w:w="992" w:type="dxa"/>
            <w:tcBorders>
              <w:top w:val="nil"/>
              <w:left w:val="nil"/>
              <w:bottom w:val="double" w:sz="6"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52</w:t>
            </w:r>
          </w:p>
        </w:tc>
        <w:tc>
          <w:tcPr>
            <w:tcW w:w="992" w:type="dxa"/>
            <w:tcBorders>
              <w:top w:val="nil"/>
              <w:left w:val="nil"/>
              <w:bottom w:val="double" w:sz="6" w:space="0" w:color="auto"/>
              <w:right w:val="single" w:sz="8" w:space="0" w:color="auto"/>
            </w:tcBorders>
            <w:shd w:val="clear" w:color="auto" w:fill="auto"/>
            <w:vAlign w:val="center"/>
            <w:hideMark/>
          </w:tcPr>
          <w:p w:rsidR="00A0574E" w:rsidRPr="007C50D0" w:rsidRDefault="00A0574E" w:rsidP="009465FD">
            <w:pPr>
              <w:contextualSpacing/>
              <w:jc w:val="center"/>
              <w:rPr>
                <w:bCs/>
                <w:i/>
                <w:iCs/>
                <w:color w:val="000000"/>
                <w:sz w:val="24"/>
                <w:szCs w:val="24"/>
              </w:rPr>
            </w:pPr>
            <w:r w:rsidRPr="007C50D0">
              <w:rPr>
                <w:bCs/>
                <w:i/>
                <w:iCs/>
                <w:color w:val="000000"/>
                <w:sz w:val="24"/>
                <w:szCs w:val="24"/>
              </w:rPr>
              <w:t>44</w:t>
            </w:r>
          </w:p>
        </w:tc>
        <w:tc>
          <w:tcPr>
            <w:tcW w:w="851" w:type="dxa"/>
            <w:tcBorders>
              <w:top w:val="nil"/>
              <w:left w:val="nil"/>
              <w:bottom w:val="double" w:sz="6" w:space="0" w:color="auto"/>
              <w:right w:val="double" w:sz="6" w:space="0" w:color="auto"/>
            </w:tcBorders>
            <w:shd w:val="clear" w:color="auto" w:fill="auto"/>
            <w:vAlign w:val="center"/>
          </w:tcPr>
          <w:p w:rsidR="00A0574E" w:rsidRPr="007C50D0" w:rsidRDefault="00A0574E" w:rsidP="009465FD">
            <w:pPr>
              <w:contextualSpacing/>
              <w:jc w:val="center"/>
              <w:rPr>
                <w:bCs/>
                <w:i/>
                <w:iCs/>
                <w:color w:val="000000"/>
                <w:sz w:val="24"/>
                <w:szCs w:val="24"/>
              </w:rPr>
            </w:pPr>
            <w:r w:rsidRPr="007C50D0">
              <w:rPr>
                <w:bCs/>
                <w:i/>
                <w:iCs/>
                <w:color w:val="000000"/>
                <w:sz w:val="24"/>
                <w:szCs w:val="24"/>
              </w:rPr>
              <w:t>52</w:t>
            </w:r>
          </w:p>
        </w:tc>
      </w:tr>
    </w:tbl>
    <w:p w:rsidR="007C50D0" w:rsidRPr="007C50D0" w:rsidRDefault="007C50D0" w:rsidP="008619A6">
      <w:pPr>
        <w:ind w:firstLine="680"/>
        <w:contextualSpacing/>
        <w:jc w:val="both"/>
        <w:rPr>
          <w:sz w:val="28"/>
          <w:szCs w:val="28"/>
        </w:rPr>
      </w:pPr>
      <w:proofErr w:type="gramStart"/>
      <w:r w:rsidRPr="007C50D0">
        <w:rPr>
          <w:sz w:val="28"/>
          <w:szCs w:val="28"/>
        </w:rPr>
        <w:t xml:space="preserve">С 2013 года наблюдается постепенный спад количества лиц, осужденных по статье 228.1 УК РФ «Незаконные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w:t>
      </w:r>
      <w:r w:rsidRPr="007C50D0">
        <w:rPr>
          <w:sz w:val="28"/>
          <w:szCs w:val="28"/>
        </w:rPr>
        <w:lastRenderedPageBreak/>
        <w:t>наркотические средства или психотропные вещества».</w:t>
      </w:r>
      <w:proofErr w:type="gramEnd"/>
      <w:r w:rsidRPr="007C50D0">
        <w:rPr>
          <w:sz w:val="28"/>
          <w:szCs w:val="28"/>
        </w:rPr>
        <w:t xml:space="preserve"> В 2017 году осуждено по данной статье 402 лица, что в 1,1 раза меньше, чем в 2013 году. </w:t>
      </w:r>
    </w:p>
    <w:p w:rsidR="007C50D0" w:rsidRPr="007C50D0" w:rsidRDefault="007C50D0" w:rsidP="008619A6">
      <w:pPr>
        <w:ind w:firstLine="680"/>
        <w:contextualSpacing/>
        <w:jc w:val="both"/>
        <w:rPr>
          <w:sz w:val="28"/>
          <w:szCs w:val="28"/>
        </w:rPr>
      </w:pPr>
      <w:r w:rsidRPr="007C50D0">
        <w:rPr>
          <w:sz w:val="28"/>
          <w:szCs w:val="28"/>
        </w:rPr>
        <w:t xml:space="preserve">Статистические данные, представленные, в таблице </w:t>
      </w:r>
      <w:r w:rsidR="00A31717">
        <w:rPr>
          <w:sz w:val="28"/>
          <w:szCs w:val="28"/>
        </w:rPr>
        <w:t>52</w:t>
      </w:r>
      <w:r w:rsidRPr="007C50D0">
        <w:rPr>
          <w:sz w:val="28"/>
          <w:szCs w:val="28"/>
        </w:rPr>
        <w:t xml:space="preserve"> показывают, что реальное лишение свободы применялось в 2017 году чаще, чем в предыдущий год. В частности, к реальному лишению свободы на определенный срок подсудимые, обвиняемые в преступлениях по </w:t>
      </w:r>
      <w:proofErr w:type="spellStart"/>
      <w:r w:rsidRPr="007C50D0">
        <w:rPr>
          <w:sz w:val="28"/>
          <w:szCs w:val="28"/>
        </w:rPr>
        <w:t>ст.ст</w:t>
      </w:r>
      <w:proofErr w:type="spellEnd"/>
      <w:r w:rsidRPr="007C50D0">
        <w:rPr>
          <w:sz w:val="28"/>
          <w:szCs w:val="28"/>
        </w:rPr>
        <w:t>. 228-233 УК РФ, приговаривались в 2017 году на 11,3% больше, чем в 2016 году. Вместе с этим число осужденных к условному лишению свободы увеличилось на 23,5% по сравнению с 2016 годом.</w:t>
      </w:r>
    </w:p>
    <w:p w:rsidR="007C50D0" w:rsidRDefault="007C50D0" w:rsidP="008619A6">
      <w:pPr>
        <w:ind w:firstLine="709"/>
        <w:contextualSpacing/>
        <w:jc w:val="both"/>
        <w:rPr>
          <w:sz w:val="28"/>
          <w:szCs w:val="28"/>
        </w:rPr>
      </w:pPr>
      <w:r w:rsidRPr="007C50D0">
        <w:rPr>
          <w:sz w:val="28"/>
          <w:szCs w:val="28"/>
        </w:rPr>
        <w:t xml:space="preserve">С 2014 года в УК РФ введена статья 264.1 – «Нарушение правил дорожного движения лицом, подвергнутым административному наказанию». Осужденные по данной статье лица составляют третью по численности группу в общем количестве осужденных. </w:t>
      </w:r>
      <w:r w:rsidR="00A0574E">
        <w:rPr>
          <w:sz w:val="28"/>
          <w:szCs w:val="28"/>
        </w:rPr>
        <w:t>Их у</w:t>
      </w:r>
      <w:r w:rsidRPr="007C50D0">
        <w:rPr>
          <w:sz w:val="28"/>
          <w:szCs w:val="28"/>
        </w:rPr>
        <w:t xml:space="preserve">дельный вес за рассматриваемый период </w:t>
      </w:r>
      <w:r w:rsidR="00A0574E">
        <w:rPr>
          <w:sz w:val="28"/>
          <w:szCs w:val="28"/>
        </w:rPr>
        <w:t>составляет</w:t>
      </w:r>
      <w:r w:rsidRPr="007C50D0">
        <w:rPr>
          <w:sz w:val="28"/>
          <w:szCs w:val="28"/>
        </w:rPr>
        <w:t xml:space="preserve"> 8,3% от числа осужденных или 1375 лиц. В сравнении с 2016 годом количество осужденных по данной категории увеличилось на 11,7%.</w:t>
      </w:r>
    </w:p>
    <w:p w:rsidR="00A0574E" w:rsidRDefault="00A0574E" w:rsidP="00A0574E">
      <w:pPr>
        <w:ind w:firstLine="680"/>
        <w:contextualSpacing/>
        <w:jc w:val="right"/>
        <w:rPr>
          <w:sz w:val="24"/>
          <w:szCs w:val="24"/>
        </w:rPr>
      </w:pPr>
      <w:r w:rsidRPr="007C50D0">
        <w:rPr>
          <w:sz w:val="24"/>
          <w:szCs w:val="24"/>
        </w:rPr>
        <w:t xml:space="preserve">Диаграмма </w:t>
      </w:r>
      <w:r>
        <w:rPr>
          <w:sz w:val="24"/>
          <w:szCs w:val="24"/>
        </w:rPr>
        <w:t>2</w:t>
      </w:r>
      <w:r>
        <w:rPr>
          <w:sz w:val="24"/>
          <w:szCs w:val="24"/>
        </w:rPr>
        <w:t>9</w:t>
      </w:r>
    </w:p>
    <w:p w:rsidR="00B25202" w:rsidRDefault="00B25202" w:rsidP="00B25202">
      <w:pPr>
        <w:ind w:firstLine="680"/>
        <w:contextualSpacing/>
        <w:jc w:val="center"/>
        <w:rPr>
          <w:sz w:val="28"/>
          <w:szCs w:val="28"/>
        </w:rPr>
      </w:pPr>
      <w:bookmarkStart w:id="0" w:name="_GoBack"/>
      <w:r>
        <w:rPr>
          <w:noProof/>
        </w:rPr>
        <w:drawing>
          <wp:inline distT="0" distB="0" distL="0" distR="0" wp14:anchorId="75695A95" wp14:editId="4F7D200F">
            <wp:extent cx="4992130" cy="2314832"/>
            <wp:effectExtent l="0" t="0" r="18415"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bookmarkEnd w:id="0"/>
    </w:p>
    <w:p w:rsidR="00A0574E" w:rsidRPr="007C50D0" w:rsidRDefault="00A0574E" w:rsidP="008619A6">
      <w:pPr>
        <w:ind w:firstLine="709"/>
        <w:contextualSpacing/>
        <w:jc w:val="both"/>
        <w:rPr>
          <w:sz w:val="28"/>
          <w:szCs w:val="28"/>
        </w:rPr>
      </w:pPr>
    </w:p>
    <w:sectPr w:rsidR="00A0574E" w:rsidRPr="007C50D0">
      <w:footerReference w:type="default" r:id="rId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DC8" w:rsidRDefault="00335DC8" w:rsidP="00ED4806">
      <w:r>
        <w:separator/>
      </w:r>
    </w:p>
  </w:endnote>
  <w:endnote w:type="continuationSeparator" w:id="0">
    <w:p w:rsidR="00335DC8" w:rsidRDefault="00335DC8" w:rsidP="00ED4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957695"/>
      <w:docPartObj>
        <w:docPartGallery w:val="Page Numbers (Bottom of Page)"/>
        <w:docPartUnique/>
      </w:docPartObj>
    </w:sdtPr>
    <w:sdtContent>
      <w:p w:rsidR="00C414DD" w:rsidRDefault="00C414DD">
        <w:pPr>
          <w:pStyle w:val="a9"/>
          <w:jc w:val="center"/>
        </w:pPr>
        <w:r>
          <w:fldChar w:fldCharType="begin"/>
        </w:r>
        <w:r>
          <w:instrText>PAGE   \* MERGEFORMAT</w:instrText>
        </w:r>
        <w:r>
          <w:fldChar w:fldCharType="separate"/>
        </w:r>
        <w:r w:rsidR="0016020D">
          <w:rPr>
            <w:noProof/>
          </w:rPr>
          <w:t>68</w:t>
        </w:r>
        <w:r>
          <w:fldChar w:fldCharType="end"/>
        </w:r>
      </w:p>
    </w:sdtContent>
  </w:sdt>
  <w:p w:rsidR="00C414DD" w:rsidRDefault="00C414D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DC8" w:rsidRDefault="00335DC8" w:rsidP="00ED4806">
      <w:r>
        <w:separator/>
      </w:r>
    </w:p>
  </w:footnote>
  <w:footnote w:type="continuationSeparator" w:id="0">
    <w:p w:rsidR="00335DC8" w:rsidRDefault="00335DC8" w:rsidP="00ED4806">
      <w:r>
        <w:continuationSeparator/>
      </w:r>
    </w:p>
  </w:footnote>
  <w:footnote w:id="1">
    <w:p w:rsidR="00C414DD" w:rsidRPr="00BA0C46" w:rsidRDefault="00C414DD" w:rsidP="007C50D0">
      <w:pPr>
        <w:pStyle w:val="af7"/>
        <w:rPr>
          <w:i/>
        </w:rPr>
      </w:pPr>
      <w:r w:rsidRPr="00BA0C46">
        <w:rPr>
          <w:rStyle w:val="af9"/>
          <w:i/>
        </w:rPr>
        <w:footnoteRef/>
      </w:r>
      <w:r w:rsidRPr="00BA0C46">
        <w:rPr>
          <w:i/>
        </w:rPr>
        <w:t xml:space="preserve"> В связи со значительным изменением объектов статистического наблюдения во вновь введенных разделах статистического отчета не всегда возможен сравнительный анализ значений отдельных показателей в ра</w:t>
      </w:r>
      <w:r w:rsidRPr="00BA0C46">
        <w:rPr>
          <w:i/>
        </w:rPr>
        <w:t>з</w:t>
      </w:r>
      <w:r w:rsidRPr="00BA0C46">
        <w:rPr>
          <w:i/>
        </w:rPr>
        <w:t>личных временных интервалах.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1037"/>
    <w:multiLevelType w:val="hybridMultilevel"/>
    <w:tmpl w:val="9626CC6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nsid w:val="063B38D9"/>
    <w:multiLevelType w:val="hybridMultilevel"/>
    <w:tmpl w:val="3F38BA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33C1A70"/>
    <w:multiLevelType w:val="hybridMultilevel"/>
    <w:tmpl w:val="D72C3814"/>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
    <w:nsid w:val="1758523E"/>
    <w:multiLevelType w:val="hybridMultilevel"/>
    <w:tmpl w:val="C9461716"/>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B622A35"/>
    <w:multiLevelType w:val="hybridMultilevel"/>
    <w:tmpl w:val="B9BCFC3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
    <w:nsid w:val="1BDC70BF"/>
    <w:multiLevelType w:val="hybridMultilevel"/>
    <w:tmpl w:val="3D64723E"/>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2B525C6"/>
    <w:multiLevelType w:val="hybridMultilevel"/>
    <w:tmpl w:val="8F5897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nsid w:val="23B635A6"/>
    <w:multiLevelType w:val="hybridMultilevel"/>
    <w:tmpl w:val="09B4A95C"/>
    <w:lvl w:ilvl="0" w:tplc="04190005">
      <w:start w:val="1"/>
      <w:numFmt w:val="bullet"/>
      <w:lvlText w:val=""/>
      <w:lvlJc w:val="left"/>
      <w:pPr>
        <w:tabs>
          <w:tab w:val="num" w:pos="0"/>
        </w:tabs>
        <w:ind w:left="0" w:hanging="360"/>
      </w:pPr>
      <w:rPr>
        <w:rFonts w:ascii="Wingdings" w:hAnsi="Wingdings"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8">
    <w:nsid w:val="28D941E1"/>
    <w:multiLevelType w:val="hybridMultilevel"/>
    <w:tmpl w:val="31643AC6"/>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2AD57813"/>
    <w:multiLevelType w:val="hybridMultilevel"/>
    <w:tmpl w:val="8A6A701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09E5587"/>
    <w:multiLevelType w:val="hybridMultilevel"/>
    <w:tmpl w:val="5F0810B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53E4D34"/>
    <w:multiLevelType w:val="hybridMultilevel"/>
    <w:tmpl w:val="22EE71F4"/>
    <w:lvl w:ilvl="0" w:tplc="04190005">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2">
    <w:nsid w:val="35FA6511"/>
    <w:multiLevelType w:val="hybridMultilevel"/>
    <w:tmpl w:val="158297A0"/>
    <w:lvl w:ilvl="0" w:tplc="0419000D">
      <w:start w:val="1"/>
      <w:numFmt w:val="bullet"/>
      <w:lvlText w:val=""/>
      <w:lvlJc w:val="left"/>
      <w:pPr>
        <w:ind w:left="1560" w:hanging="360"/>
      </w:pPr>
      <w:rPr>
        <w:rFonts w:ascii="Wingdings" w:hAnsi="Wingdings"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3">
    <w:nsid w:val="55B96E2C"/>
    <w:multiLevelType w:val="hybridMultilevel"/>
    <w:tmpl w:val="D9B0F5E8"/>
    <w:lvl w:ilvl="0" w:tplc="04190005">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4">
    <w:nsid w:val="56AA77D7"/>
    <w:multiLevelType w:val="hybridMultilevel"/>
    <w:tmpl w:val="7214D8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4A72077"/>
    <w:multiLevelType w:val="hybridMultilevel"/>
    <w:tmpl w:val="504A80A2"/>
    <w:lvl w:ilvl="0" w:tplc="04190005">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nsid w:val="6C44327C"/>
    <w:multiLevelType w:val="hybridMultilevel"/>
    <w:tmpl w:val="14069D3E"/>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240"/>
        </w:tabs>
        <w:ind w:left="240" w:hanging="360"/>
      </w:pPr>
      <w:rPr>
        <w:rFonts w:ascii="Courier New" w:hAnsi="Courier New" w:cs="Courier New" w:hint="default"/>
      </w:rPr>
    </w:lvl>
    <w:lvl w:ilvl="2" w:tplc="04190005" w:tentative="1">
      <w:start w:val="1"/>
      <w:numFmt w:val="bullet"/>
      <w:lvlText w:val=""/>
      <w:lvlJc w:val="left"/>
      <w:pPr>
        <w:tabs>
          <w:tab w:val="num" w:pos="960"/>
        </w:tabs>
        <w:ind w:left="960" w:hanging="360"/>
      </w:pPr>
      <w:rPr>
        <w:rFonts w:ascii="Wingdings" w:hAnsi="Wingdings" w:hint="default"/>
      </w:rPr>
    </w:lvl>
    <w:lvl w:ilvl="3" w:tplc="04190001" w:tentative="1">
      <w:start w:val="1"/>
      <w:numFmt w:val="bullet"/>
      <w:lvlText w:val=""/>
      <w:lvlJc w:val="left"/>
      <w:pPr>
        <w:tabs>
          <w:tab w:val="num" w:pos="1680"/>
        </w:tabs>
        <w:ind w:left="1680" w:hanging="360"/>
      </w:pPr>
      <w:rPr>
        <w:rFonts w:ascii="Symbol" w:hAnsi="Symbol" w:hint="default"/>
      </w:rPr>
    </w:lvl>
    <w:lvl w:ilvl="4" w:tplc="04190003" w:tentative="1">
      <w:start w:val="1"/>
      <w:numFmt w:val="bullet"/>
      <w:lvlText w:val="o"/>
      <w:lvlJc w:val="left"/>
      <w:pPr>
        <w:tabs>
          <w:tab w:val="num" w:pos="2400"/>
        </w:tabs>
        <w:ind w:left="2400" w:hanging="360"/>
      </w:pPr>
      <w:rPr>
        <w:rFonts w:ascii="Courier New" w:hAnsi="Courier New" w:cs="Courier New" w:hint="default"/>
      </w:rPr>
    </w:lvl>
    <w:lvl w:ilvl="5" w:tplc="04190005" w:tentative="1">
      <w:start w:val="1"/>
      <w:numFmt w:val="bullet"/>
      <w:lvlText w:val=""/>
      <w:lvlJc w:val="left"/>
      <w:pPr>
        <w:tabs>
          <w:tab w:val="num" w:pos="3120"/>
        </w:tabs>
        <w:ind w:left="3120" w:hanging="360"/>
      </w:pPr>
      <w:rPr>
        <w:rFonts w:ascii="Wingdings" w:hAnsi="Wingdings" w:hint="default"/>
      </w:rPr>
    </w:lvl>
    <w:lvl w:ilvl="6" w:tplc="04190001" w:tentative="1">
      <w:start w:val="1"/>
      <w:numFmt w:val="bullet"/>
      <w:lvlText w:val=""/>
      <w:lvlJc w:val="left"/>
      <w:pPr>
        <w:tabs>
          <w:tab w:val="num" w:pos="3840"/>
        </w:tabs>
        <w:ind w:left="3840" w:hanging="360"/>
      </w:pPr>
      <w:rPr>
        <w:rFonts w:ascii="Symbol" w:hAnsi="Symbol" w:hint="default"/>
      </w:rPr>
    </w:lvl>
    <w:lvl w:ilvl="7" w:tplc="04190003" w:tentative="1">
      <w:start w:val="1"/>
      <w:numFmt w:val="bullet"/>
      <w:lvlText w:val="o"/>
      <w:lvlJc w:val="left"/>
      <w:pPr>
        <w:tabs>
          <w:tab w:val="num" w:pos="4560"/>
        </w:tabs>
        <w:ind w:left="4560" w:hanging="360"/>
      </w:pPr>
      <w:rPr>
        <w:rFonts w:ascii="Courier New" w:hAnsi="Courier New" w:cs="Courier New" w:hint="default"/>
      </w:rPr>
    </w:lvl>
    <w:lvl w:ilvl="8" w:tplc="04190005" w:tentative="1">
      <w:start w:val="1"/>
      <w:numFmt w:val="bullet"/>
      <w:lvlText w:val=""/>
      <w:lvlJc w:val="left"/>
      <w:pPr>
        <w:tabs>
          <w:tab w:val="num" w:pos="5280"/>
        </w:tabs>
        <w:ind w:left="5280" w:hanging="360"/>
      </w:pPr>
      <w:rPr>
        <w:rFonts w:ascii="Wingdings" w:hAnsi="Wingdings" w:hint="default"/>
      </w:rPr>
    </w:lvl>
  </w:abstractNum>
  <w:abstractNum w:abstractNumId="17">
    <w:nsid w:val="6CD20DBA"/>
    <w:multiLevelType w:val="hybridMultilevel"/>
    <w:tmpl w:val="A648AA32"/>
    <w:lvl w:ilvl="0" w:tplc="0419000D">
      <w:start w:val="1"/>
      <w:numFmt w:val="bullet"/>
      <w:lvlText w:val=""/>
      <w:lvlJc w:val="left"/>
      <w:pPr>
        <w:ind w:left="1680" w:hanging="360"/>
      </w:pPr>
      <w:rPr>
        <w:rFonts w:ascii="Wingdings" w:hAnsi="Wingdings"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18">
    <w:nsid w:val="73247BDB"/>
    <w:multiLevelType w:val="hybridMultilevel"/>
    <w:tmpl w:val="B0202DD0"/>
    <w:lvl w:ilvl="0" w:tplc="04190005">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9">
    <w:nsid w:val="73A4211B"/>
    <w:multiLevelType w:val="hybridMultilevel"/>
    <w:tmpl w:val="860CFDC6"/>
    <w:lvl w:ilvl="0" w:tplc="04190005">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0">
    <w:nsid w:val="74984093"/>
    <w:multiLevelType w:val="hybridMultilevel"/>
    <w:tmpl w:val="0D527E24"/>
    <w:lvl w:ilvl="0" w:tplc="04190005">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1">
    <w:nsid w:val="7FCE62B3"/>
    <w:multiLevelType w:val="hybridMultilevel"/>
    <w:tmpl w:val="97F4E0A4"/>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240"/>
        </w:tabs>
        <w:ind w:left="240" w:hanging="360"/>
      </w:pPr>
      <w:rPr>
        <w:rFonts w:ascii="Courier New" w:hAnsi="Courier New" w:cs="Courier New" w:hint="default"/>
      </w:rPr>
    </w:lvl>
    <w:lvl w:ilvl="2" w:tplc="04190005" w:tentative="1">
      <w:start w:val="1"/>
      <w:numFmt w:val="bullet"/>
      <w:lvlText w:val=""/>
      <w:lvlJc w:val="left"/>
      <w:pPr>
        <w:tabs>
          <w:tab w:val="num" w:pos="960"/>
        </w:tabs>
        <w:ind w:left="960" w:hanging="360"/>
      </w:pPr>
      <w:rPr>
        <w:rFonts w:ascii="Wingdings" w:hAnsi="Wingdings" w:hint="default"/>
      </w:rPr>
    </w:lvl>
    <w:lvl w:ilvl="3" w:tplc="04190001" w:tentative="1">
      <w:start w:val="1"/>
      <w:numFmt w:val="bullet"/>
      <w:lvlText w:val=""/>
      <w:lvlJc w:val="left"/>
      <w:pPr>
        <w:tabs>
          <w:tab w:val="num" w:pos="1680"/>
        </w:tabs>
        <w:ind w:left="1680" w:hanging="360"/>
      </w:pPr>
      <w:rPr>
        <w:rFonts w:ascii="Symbol" w:hAnsi="Symbol" w:hint="default"/>
      </w:rPr>
    </w:lvl>
    <w:lvl w:ilvl="4" w:tplc="04190003" w:tentative="1">
      <w:start w:val="1"/>
      <w:numFmt w:val="bullet"/>
      <w:lvlText w:val="o"/>
      <w:lvlJc w:val="left"/>
      <w:pPr>
        <w:tabs>
          <w:tab w:val="num" w:pos="2400"/>
        </w:tabs>
        <w:ind w:left="2400" w:hanging="360"/>
      </w:pPr>
      <w:rPr>
        <w:rFonts w:ascii="Courier New" w:hAnsi="Courier New" w:cs="Courier New" w:hint="default"/>
      </w:rPr>
    </w:lvl>
    <w:lvl w:ilvl="5" w:tplc="04190005" w:tentative="1">
      <w:start w:val="1"/>
      <w:numFmt w:val="bullet"/>
      <w:lvlText w:val=""/>
      <w:lvlJc w:val="left"/>
      <w:pPr>
        <w:tabs>
          <w:tab w:val="num" w:pos="3120"/>
        </w:tabs>
        <w:ind w:left="3120" w:hanging="360"/>
      </w:pPr>
      <w:rPr>
        <w:rFonts w:ascii="Wingdings" w:hAnsi="Wingdings" w:hint="default"/>
      </w:rPr>
    </w:lvl>
    <w:lvl w:ilvl="6" w:tplc="04190001" w:tentative="1">
      <w:start w:val="1"/>
      <w:numFmt w:val="bullet"/>
      <w:lvlText w:val=""/>
      <w:lvlJc w:val="left"/>
      <w:pPr>
        <w:tabs>
          <w:tab w:val="num" w:pos="3840"/>
        </w:tabs>
        <w:ind w:left="3840" w:hanging="360"/>
      </w:pPr>
      <w:rPr>
        <w:rFonts w:ascii="Symbol" w:hAnsi="Symbol" w:hint="default"/>
      </w:rPr>
    </w:lvl>
    <w:lvl w:ilvl="7" w:tplc="04190003" w:tentative="1">
      <w:start w:val="1"/>
      <w:numFmt w:val="bullet"/>
      <w:lvlText w:val="o"/>
      <w:lvlJc w:val="left"/>
      <w:pPr>
        <w:tabs>
          <w:tab w:val="num" w:pos="4560"/>
        </w:tabs>
        <w:ind w:left="4560" w:hanging="360"/>
      </w:pPr>
      <w:rPr>
        <w:rFonts w:ascii="Courier New" w:hAnsi="Courier New" w:cs="Courier New" w:hint="default"/>
      </w:rPr>
    </w:lvl>
    <w:lvl w:ilvl="8" w:tplc="04190005" w:tentative="1">
      <w:start w:val="1"/>
      <w:numFmt w:val="bullet"/>
      <w:lvlText w:val=""/>
      <w:lvlJc w:val="left"/>
      <w:pPr>
        <w:tabs>
          <w:tab w:val="num" w:pos="5280"/>
        </w:tabs>
        <w:ind w:left="5280" w:hanging="360"/>
      </w:pPr>
      <w:rPr>
        <w:rFonts w:ascii="Wingdings" w:hAnsi="Wingdings" w:hint="default"/>
      </w:rPr>
    </w:lvl>
  </w:abstractNum>
  <w:num w:numId="1">
    <w:abstractNumId w:val="10"/>
  </w:num>
  <w:num w:numId="2">
    <w:abstractNumId w:val="9"/>
  </w:num>
  <w:num w:numId="3">
    <w:abstractNumId w:val="20"/>
  </w:num>
  <w:num w:numId="4">
    <w:abstractNumId w:val="19"/>
  </w:num>
  <w:num w:numId="5">
    <w:abstractNumId w:val="18"/>
  </w:num>
  <w:num w:numId="6">
    <w:abstractNumId w:val="11"/>
  </w:num>
  <w:num w:numId="7">
    <w:abstractNumId w:val="15"/>
  </w:num>
  <w:num w:numId="8">
    <w:abstractNumId w:val="3"/>
  </w:num>
  <w:num w:numId="9">
    <w:abstractNumId w:val="7"/>
  </w:num>
  <w:num w:numId="10">
    <w:abstractNumId w:val="16"/>
  </w:num>
  <w:num w:numId="11">
    <w:abstractNumId w:val="21"/>
  </w:num>
  <w:num w:numId="12">
    <w:abstractNumId w:val="8"/>
  </w:num>
  <w:num w:numId="13">
    <w:abstractNumId w:val="14"/>
  </w:num>
  <w:num w:numId="14">
    <w:abstractNumId w:val="4"/>
  </w:num>
  <w:num w:numId="15">
    <w:abstractNumId w:val="13"/>
  </w:num>
  <w:num w:numId="16">
    <w:abstractNumId w:val="12"/>
  </w:num>
  <w:num w:numId="17">
    <w:abstractNumId w:val="17"/>
  </w:num>
  <w:num w:numId="18">
    <w:abstractNumId w:val="1"/>
  </w:num>
  <w:num w:numId="19">
    <w:abstractNumId w:val="6"/>
  </w:num>
  <w:num w:numId="20">
    <w:abstractNumId w:val="0"/>
  </w:num>
  <w:num w:numId="21">
    <w:abstractNumId w:val="2"/>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052"/>
    <w:rsid w:val="000123D7"/>
    <w:rsid w:val="00013FCB"/>
    <w:rsid w:val="00055CAA"/>
    <w:rsid w:val="00062272"/>
    <w:rsid w:val="00091D3C"/>
    <w:rsid w:val="00094900"/>
    <w:rsid w:val="00097BCE"/>
    <w:rsid w:val="000A0009"/>
    <w:rsid w:val="000A06D8"/>
    <w:rsid w:val="0010783B"/>
    <w:rsid w:val="00117D82"/>
    <w:rsid w:val="00126E2E"/>
    <w:rsid w:val="00153B12"/>
    <w:rsid w:val="0016020D"/>
    <w:rsid w:val="00165A71"/>
    <w:rsid w:val="00195FFB"/>
    <w:rsid w:val="001E2057"/>
    <w:rsid w:val="00212241"/>
    <w:rsid w:val="002D0920"/>
    <w:rsid w:val="002F3F2B"/>
    <w:rsid w:val="003169C4"/>
    <w:rsid w:val="0032133B"/>
    <w:rsid w:val="0033169A"/>
    <w:rsid w:val="00335DC8"/>
    <w:rsid w:val="003C3F0D"/>
    <w:rsid w:val="00404B1D"/>
    <w:rsid w:val="004C6052"/>
    <w:rsid w:val="004E6E2C"/>
    <w:rsid w:val="0054239B"/>
    <w:rsid w:val="0055272B"/>
    <w:rsid w:val="00554482"/>
    <w:rsid w:val="005954B9"/>
    <w:rsid w:val="005958F4"/>
    <w:rsid w:val="005B4FBE"/>
    <w:rsid w:val="005E1C6F"/>
    <w:rsid w:val="005F3B88"/>
    <w:rsid w:val="00617AFA"/>
    <w:rsid w:val="0062353F"/>
    <w:rsid w:val="00635ABC"/>
    <w:rsid w:val="00663894"/>
    <w:rsid w:val="00663C3C"/>
    <w:rsid w:val="00675363"/>
    <w:rsid w:val="006A3630"/>
    <w:rsid w:val="006A7B80"/>
    <w:rsid w:val="006B2C67"/>
    <w:rsid w:val="006C7CE1"/>
    <w:rsid w:val="006E6941"/>
    <w:rsid w:val="007007DF"/>
    <w:rsid w:val="007119CD"/>
    <w:rsid w:val="007254EE"/>
    <w:rsid w:val="0073408F"/>
    <w:rsid w:val="00791A34"/>
    <w:rsid w:val="007B3ED4"/>
    <w:rsid w:val="007C50D0"/>
    <w:rsid w:val="008016B3"/>
    <w:rsid w:val="00840000"/>
    <w:rsid w:val="00844F3F"/>
    <w:rsid w:val="008619A6"/>
    <w:rsid w:val="00892C51"/>
    <w:rsid w:val="00963178"/>
    <w:rsid w:val="009B50AF"/>
    <w:rsid w:val="009E7420"/>
    <w:rsid w:val="00A0574E"/>
    <w:rsid w:val="00A1659D"/>
    <w:rsid w:val="00A24002"/>
    <w:rsid w:val="00A31717"/>
    <w:rsid w:val="00A334CF"/>
    <w:rsid w:val="00A64F9C"/>
    <w:rsid w:val="00AA3DBC"/>
    <w:rsid w:val="00AD1451"/>
    <w:rsid w:val="00AF16F1"/>
    <w:rsid w:val="00B15601"/>
    <w:rsid w:val="00B20765"/>
    <w:rsid w:val="00B22FBD"/>
    <w:rsid w:val="00B25202"/>
    <w:rsid w:val="00B76D72"/>
    <w:rsid w:val="00B8338D"/>
    <w:rsid w:val="00BC4604"/>
    <w:rsid w:val="00C02904"/>
    <w:rsid w:val="00C035BF"/>
    <w:rsid w:val="00C26512"/>
    <w:rsid w:val="00C414DD"/>
    <w:rsid w:val="00C873A2"/>
    <w:rsid w:val="00C9685C"/>
    <w:rsid w:val="00C97FDD"/>
    <w:rsid w:val="00CC58F9"/>
    <w:rsid w:val="00CF685D"/>
    <w:rsid w:val="00DC1263"/>
    <w:rsid w:val="00DC57D7"/>
    <w:rsid w:val="00DF165F"/>
    <w:rsid w:val="00DF4F49"/>
    <w:rsid w:val="00E14168"/>
    <w:rsid w:val="00E45BEB"/>
    <w:rsid w:val="00E7593F"/>
    <w:rsid w:val="00EC3C33"/>
    <w:rsid w:val="00ED4806"/>
    <w:rsid w:val="00F46C7B"/>
    <w:rsid w:val="00F50DF2"/>
    <w:rsid w:val="00F70DEC"/>
    <w:rsid w:val="00F8243A"/>
    <w:rsid w:val="00F87304"/>
    <w:rsid w:val="00F87976"/>
    <w:rsid w:val="00FA4BB9"/>
    <w:rsid w:val="00FC541F"/>
    <w:rsid w:val="00FD6EC4"/>
    <w:rsid w:val="00FE50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05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C50D0"/>
    <w:pPr>
      <w:keepNext/>
      <w:ind w:firstLine="851"/>
      <w:outlineLvl w:val="0"/>
    </w:pPr>
    <w:rPr>
      <w:sz w:val="28"/>
    </w:rPr>
  </w:style>
  <w:style w:type="paragraph" w:styleId="2">
    <w:name w:val="heading 2"/>
    <w:basedOn w:val="a"/>
    <w:next w:val="a"/>
    <w:link w:val="20"/>
    <w:qFormat/>
    <w:rsid w:val="007C50D0"/>
    <w:pPr>
      <w:keepNext/>
      <w:ind w:firstLine="851"/>
      <w:outlineLvl w:val="1"/>
    </w:pPr>
    <w:rPr>
      <w:i/>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C6052"/>
    <w:pPr>
      <w:jc w:val="center"/>
    </w:pPr>
    <w:rPr>
      <w:sz w:val="28"/>
    </w:rPr>
  </w:style>
  <w:style w:type="character" w:customStyle="1" w:styleId="a4">
    <w:name w:val="Название Знак"/>
    <w:basedOn w:val="a0"/>
    <w:link w:val="a3"/>
    <w:rsid w:val="004C6052"/>
    <w:rPr>
      <w:rFonts w:ascii="Times New Roman" w:eastAsia="Times New Roman" w:hAnsi="Times New Roman" w:cs="Times New Roman"/>
      <w:sz w:val="28"/>
      <w:szCs w:val="20"/>
      <w:lang w:eastAsia="ru-RU"/>
    </w:rPr>
  </w:style>
  <w:style w:type="paragraph" w:styleId="a5">
    <w:name w:val="Balloon Text"/>
    <w:basedOn w:val="a"/>
    <w:link w:val="a6"/>
    <w:uiPriority w:val="99"/>
    <w:unhideWhenUsed/>
    <w:rsid w:val="006A7B80"/>
    <w:rPr>
      <w:rFonts w:ascii="Tahoma" w:hAnsi="Tahoma" w:cs="Tahoma"/>
      <w:sz w:val="16"/>
      <w:szCs w:val="16"/>
    </w:rPr>
  </w:style>
  <w:style w:type="character" w:customStyle="1" w:styleId="a6">
    <w:name w:val="Текст выноски Знак"/>
    <w:basedOn w:val="a0"/>
    <w:link w:val="a5"/>
    <w:uiPriority w:val="99"/>
    <w:rsid w:val="006A7B80"/>
    <w:rPr>
      <w:rFonts w:ascii="Tahoma" w:eastAsia="Times New Roman" w:hAnsi="Tahoma" w:cs="Tahoma"/>
      <w:sz w:val="16"/>
      <w:szCs w:val="16"/>
      <w:lang w:eastAsia="ru-RU"/>
    </w:rPr>
  </w:style>
  <w:style w:type="paragraph" w:styleId="a7">
    <w:name w:val="header"/>
    <w:basedOn w:val="a"/>
    <w:link w:val="a8"/>
    <w:uiPriority w:val="99"/>
    <w:unhideWhenUsed/>
    <w:rsid w:val="00ED4806"/>
    <w:pPr>
      <w:tabs>
        <w:tab w:val="center" w:pos="4677"/>
        <w:tab w:val="right" w:pos="9355"/>
      </w:tabs>
    </w:pPr>
  </w:style>
  <w:style w:type="character" w:customStyle="1" w:styleId="a8">
    <w:name w:val="Верхний колонтитул Знак"/>
    <w:basedOn w:val="a0"/>
    <w:link w:val="a7"/>
    <w:uiPriority w:val="99"/>
    <w:rsid w:val="00ED4806"/>
    <w:rPr>
      <w:rFonts w:ascii="Times New Roman" w:eastAsia="Times New Roman" w:hAnsi="Times New Roman" w:cs="Times New Roman"/>
      <w:sz w:val="20"/>
      <w:szCs w:val="20"/>
      <w:lang w:eastAsia="ru-RU"/>
    </w:rPr>
  </w:style>
  <w:style w:type="paragraph" w:styleId="a9">
    <w:name w:val="footer"/>
    <w:basedOn w:val="a"/>
    <w:link w:val="aa"/>
    <w:unhideWhenUsed/>
    <w:rsid w:val="00ED4806"/>
    <w:pPr>
      <w:tabs>
        <w:tab w:val="center" w:pos="4677"/>
        <w:tab w:val="right" w:pos="9355"/>
      </w:tabs>
    </w:pPr>
  </w:style>
  <w:style w:type="character" w:customStyle="1" w:styleId="aa">
    <w:name w:val="Нижний колонтитул Знак"/>
    <w:basedOn w:val="a0"/>
    <w:link w:val="a9"/>
    <w:rsid w:val="00ED4806"/>
    <w:rPr>
      <w:rFonts w:ascii="Times New Roman" w:eastAsia="Times New Roman" w:hAnsi="Times New Roman" w:cs="Times New Roman"/>
      <w:sz w:val="20"/>
      <w:szCs w:val="20"/>
      <w:lang w:eastAsia="ru-RU"/>
    </w:rPr>
  </w:style>
  <w:style w:type="paragraph" w:styleId="ab">
    <w:name w:val="List Paragraph"/>
    <w:basedOn w:val="a"/>
    <w:uiPriority w:val="34"/>
    <w:qFormat/>
    <w:rsid w:val="00AF16F1"/>
    <w:pPr>
      <w:ind w:left="720"/>
      <w:contextualSpacing/>
    </w:pPr>
  </w:style>
  <w:style w:type="character" w:customStyle="1" w:styleId="10">
    <w:name w:val="Заголовок 1 Знак"/>
    <w:basedOn w:val="a0"/>
    <w:link w:val="1"/>
    <w:rsid w:val="007C50D0"/>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7C50D0"/>
    <w:rPr>
      <w:rFonts w:ascii="Times New Roman" w:eastAsia="Times New Roman" w:hAnsi="Times New Roman" w:cs="Times New Roman"/>
      <w:i/>
      <w:sz w:val="28"/>
      <w:szCs w:val="20"/>
      <w:u w:val="single"/>
      <w:lang w:eastAsia="ru-RU"/>
    </w:rPr>
  </w:style>
  <w:style w:type="numbering" w:customStyle="1" w:styleId="11">
    <w:name w:val="Нет списка1"/>
    <w:next w:val="a2"/>
    <w:uiPriority w:val="99"/>
    <w:semiHidden/>
    <w:rsid w:val="007C50D0"/>
  </w:style>
  <w:style w:type="paragraph" w:styleId="ac">
    <w:name w:val="Body Text Indent"/>
    <w:basedOn w:val="a"/>
    <w:link w:val="ad"/>
    <w:uiPriority w:val="99"/>
    <w:rsid w:val="007C50D0"/>
    <w:pPr>
      <w:ind w:firstLine="851"/>
      <w:jc w:val="both"/>
    </w:pPr>
    <w:rPr>
      <w:sz w:val="28"/>
    </w:rPr>
  </w:style>
  <w:style w:type="character" w:customStyle="1" w:styleId="ad">
    <w:name w:val="Основной текст с отступом Знак"/>
    <w:basedOn w:val="a0"/>
    <w:link w:val="ac"/>
    <w:uiPriority w:val="99"/>
    <w:rsid w:val="007C50D0"/>
    <w:rPr>
      <w:rFonts w:ascii="Times New Roman" w:eastAsia="Times New Roman" w:hAnsi="Times New Roman" w:cs="Times New Roman"/>
      <w:sz w:val="28"/>
      <w:szCs w:val="20"/>
      <w:lang w:eastAsia="ru-RU"/>
    </w:rPr>
  </w:style>
  <w:style w:type="paragraph" w:styleId="21">
    <w:name w:val="Body Text Indent 2"/>
    <w:basedOn w:val="a"/>
    <w:link w:val="22"/>
    <w:rsid w:val="007C50D0"/>
    <w:pPr>
      <w:ind w:left="1276" w:hanging="425"/>
      <w:jc w:val="both"/>
    </w:pPr>
    <w:rPr>
      <w:sz w:val="28"/>
    </w:rPr>
  </w:style>
  <w:style w:type="character" w:customStyle="1" w:styleId="22">
    <w:name w:val="Основной текст с отступом 2 Знак"/>
    <w:basedOn w:val="a0"/>
    <w:link w:val="21"/>
    <w:rsid w:val="007C50D0"/>
    <w:rPr>
      <w:rFonts w:ascii="Times New Roman" w:eastAsia="Times New Roman" w:hAnsi="Times New Roman" w:cs="Times New Roman"/>
      <w:sz w:val="28"/>
      <w:szCs w:val="20"/>
      <w:lang w:eastAsia="ru-RU"/>
    </w:rPr>
  </w:style>
  <w:style w:type="paragraph" w:styleId="ae">
    <w:name w:val="Body Text"/>
    <w:basedOn w:val="a"/>
    <w:link w:val="af"/>
    <w:rsid w:val="007C50D0"/>
    <w:rPr>
      <w:sz w:val="24"/>
    </w:rPr>
  </w:style>
  <w:style w:type="character" w:customStyle="1" w:styleId="af">
    <w:name w:val="Основной текст Знак"/>
    <w:basedOn w:val="a0"/>
    <w:link w:val="ae"/>
    <w:rsid w:val="007C50D0"/>
    <w:rPr>
      <w:rFonts w:ascii="Times New Roman" w:eastAsia="Times New Roman" w:hAnsi="Times New Roman" w:cs="Times New Roman"/>
      <w:sz w:val="24"/>
      <w:szCs w:val="20"/>
      <w:lang w:eastAsia="ru-RU"/>
    </w:rPr>
  </w:style>
  <w:style w:type="paragraph" w:styleId="3">
    <w:name w:val="Body Text Indent 3"/>
    <w:basedOn w:val="a"/>
    <w:link w:val="30"/>
    <w:rsid w:val="007C50D0"/>
    <w:pPr>
      <w:ind w:firstLine="851"/>
    </w:pPr>
    <w:rPr>
      <w:sz w:val="28"/>
    </w:rPr>
  </w:style>
  <w:style w:type="character" w:customStyle="1" w:styleId="30">
    <w:name w:val="Основной текст с отступом 3 Знак"/>
    <w:basedOn w:val="a0"/>
    <w:link w:val="3"/>
    <w:rsid w:val="007C50D0"/>
    <w:rPr>
      <w:rFonts w:ascii="Times New Roman" w:eastAsia="Times New Roman" w:hAnsi="Times New Roman" w:cs="Times New Roman"/>
      <w:sz w:val="28"/>
      <w:szCs w:val="20"/>
      <w:lang w:eastAsia="ru-RU"/>
    </w:rPr>
  </w:style>
  <w:style w:type="table" w:styleId="af0">
    <w:name w:val="Table Grid"/>
    <w:basedOn w:val="a1"/>
    <w:rsid w:val="007C50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rsid w:val="007C50D0"/>
  </w:style>
  <w:style w:type="paragraph" w:customStyle="1" w:styleId="ConsNonformat">
    <w:name w:val="ConsNonformat"/>
    <w:rsid w:val="007C50D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annotation reference"/>
    <w:rsid w:val="007C50D0"/>
    <w:rPr>
      <w:sz w:val="16"/>
      <w:szCs w:val="16"/>
    </w:rPr>
  </w:style>
  <w:style w:type="paragraph" w:styleId="af3">
    <w:name w:val="annotation text"/>
    <w:basedOn w:val="a"/>
    <w:link w:val="af4"/>
    <w:rsid w:val="007C50D0"/>
  </w:style>
  <w:style w:type="character" w:customStyle="1" w:styleId="af4">
    <w:name w:val="Текст примечания Знак"/>
    <w:basedOn w:val="a0"/>
    <w:link w:val="af3"/>
    <w:rsid w:val="007C50D0"/>
    <w:rPr>
      <w:rFonts w:ascii="Times New Roman" w:eastAsia="Times New Roman" w:hAnsi="Times New Roman" w:cs="Times New Roman"/>
      <w:sz w:val="20"/>
      <w:szCs w:val="20"/>
      <w:lang w:eastAsia="ru-RU"/>
    </w:rPr>
  </w:style>
  <w:style w:type="paragraph" w:styleId="af5">
    <w:name w:val="annotation subject"/>
    <w:basedOn w:val="af3"/>
    <w:next w:val="af3"/>
    <w:link w:val="af6"/>
    <w:rsid w:val="007C50D0"/>
    <w:rPr>
      <w:b/>
      <w:bCs/>
    </w:rPr>
  </w:style>
  <w:style w:type="character" w:customStyle="1" w:styleId="af6">
    <w:name w:val="Тема примечания Знак"/>
    <w:basedOn w:val="af4"/>
    <w:link w:val="af5"/>
    <w:rsid w:val="007C50D0"/>
    <w:rPr>
      <w:rFonts w:ascii="Times New Roman" w:eastAsia="Times New Roman" w:hAnsi="Times New Roman" w:cs="Times New Roman"/>
      <w:b/>
      <w:bCs/>
      <w:sz w:val="20"/>
      <w:szCs w:val="20"/>
      <w:lang w:eastAsia="ru-RU"/>
    </w:rPr>
  </w:style>
  <w:style w:type="paragraph" w:styleId="af7">
    <w:name w:val="footnote text"/>
    <w:basedOn w:val="a"/>
    <w:link w:val="af8"/>
    <w:rsid w:val="007C50D0"/>
  </w:style>
  <w:style w:type="character" w:customStyle="1" w:styleId="af8">
    <w:name w:val="Текст сноски Знак"/>
    <w:basedOn w:val="a0"/>
    <w:link w:val="af7"/>
    <w:rsid w:val="007C50D0"/>
    <w:rPr>
      <w:rFonts w:ascii="Times New Roman" w:eastAsia="Times New Roman" w:hAnsi="Times New Roman" w:cs="Times New Roman"/>
      <w:sz w:val="20"/>
      <w:szCs w:val="20"/>
      <w:lang w:eastAsia="ru-RU"/>
    </w:rPr>
  </w:style>
  <w:style w:type="character" w:styleId="af9">
    <w:name w:val="footnote reference"/>
    <w:rsid w:val="007C50D0"/>
    <w:rPr>
      <w:vertAlign w:val="superscript"/>
    </w:rPr>
  </w:style>
  <w:style w:type="numbering" w:customStyle="1" w:styleId="110">
    <w:name w:val="Нет списка11"/>
    <w:next w:val="a2"/>
    <w:uiPriority w:val="99"/>
    <w:semiHidden/>
    <w:unhideWhenUsed/>
    <w:rsid w:val="007C50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05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C50D0"/>
    <w:pPr>
      <w:keepNext/>
      <w:ind w:firstLine="851"/>
      <w:outlineLvl w:val="0"/>
    </w:pPr>
    <w:rPr>
      <w:sz w:val="28"/>
    </w:rPr>
  </w:style>
  <w:style w:type="paragraph" w:styleId="2">
    <w:name w:val="heading 2"/>
    <w:basedOn w:val="a"/>
    <w:next w:val="a"/>
    <w:link w:val="20"/>
    <w:qFormat/>
    <w:rsid w:val="007C50D0"/>
    <w:pPr>
      <w:keepNext/>
      <w:ind w:firstLine="851"/>
      <w:outlineLvl w:val="1"/>
    </w:pPr>
    <w:rPr>
      <w:i/>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C6052"/>
    <w:pPr>
      <w:jc w:val="center"/>
    </w:pPr>
    <w:rPr>
      <w:sz w:val="28"/>
    </w:rPr>
  </w:style>
  <w:style w:type="character" w:customStyle="1" w:styleId="a4">
    <w:name w:val="Название Знак"/>
    <w:basedOn w:val="a0"/>
    <w:link w:val="a3"/>
    <w:rsid w:val="004C6052"/>
    <w:rPr>
      <w:rFonts w:ascii="Times New Roman" w:eastAsia="Times New Roman" w:hAnsi="Times New Roman" w:cs="Times New Roman"/>
      <w:sz w:val="28"/>
      <w:szCs w:val="20"/>
      <w:lang w:eastAsia="ru-RU"/>
    </w:rPr>
  </w:style>
  <w:style w:type="paragraph" w:styleId="a5">
    <w:name w:val="Balloon Text"/>
    <w:basedOn w:val="a"/>
    <w:link w:val="a6"/>
    <w:uiPriority w:val="99"/>
    <w:unhideWhenUsed/>
    <w:rsid w:val="006A7B80"/>
    <w:rPr>
      <w:rFonts w:ascii="Tahoma" w:hAnsi="Tahoma" w:cs="Tahoma"/>
      <w:sz w:val="16"/>
      <w:szCs w:val="16"/>
    </w:rPr>
  </w:style>
  <w:style w:type="character" w:customStyle="1" w:styleId="a6">
    <w:name w:val="Текст выноски Знак"/>
    <w:basedOn w:val="a0"/>
    <w:link w:val="a5"/>
    <w:uiPriority w:val="99"/>
    <w:rsid w:val="006A7B80"/>
    <w:rPr>
      <w:rFonts w:ascii="Tahoma" w:eastAsia="Times New Roman" w:hAnsi="Tahoma" w:cs="Tahoma"/>
      <w:sz w:val="16"/>
      <w:szCs w:val="16"/>
      <w:lang w:eastAsia="ru-RU"/>
    </w:rPr>
  </w:style>
  <w:style w:type="paragraph" w:styleId="a7">
    <w:name w:val="header"/>
    <w:basedOn w:val="a"/>
    <w:link w:val="a8"/>
    <w:uiPriority w:val="99"/>
    <w:unhideWhenUsed/>
    <w:rsid w:val="00ED4806"/>
    <w:pPr>
      <w:tabs>
        <w:tab w:val="center" w:pos="4677"/>
        <w:tab w:val="right" w:pos="9355"/>
      </w:tabs>
    </w:pPr>
  </w:style>
  <w:style w:type="character" w:customStyle="1" w:styleId="a8">
    <w:name w:val="Верхний колонтитул Знак"/>
    <w:basedOn w:val="a0"/>
    <w:link w:val="a7"/>
    <w:uiPriority w:val="99"/>
    <w:rsid w:val="00ED4806"/>
    <w:rPr>
      <w:rFonts w:ascii="Times New Roman" w:eastAsia="Times New Roman" w:hAnsi="Times New Roman" w:cs="Times New Roman"/>
      <w:sz w:val="20"/>
      <w:szCs w:val="20"/>
      <w:lang w:eastAsia="ru-RU"/>
    </w:rPr>
  </w:style>
  <w:style w:type="paragraph" w:styleId="a9">
    <w:name w:val="footer"/>
    <w:basedOn w:val="a"/>
    <w:link w:val="aa"/>
    <w:unhideWhenUsed/>
    <w:rsid w:val="00ED4806"/>
    <w:pPr>
      <w:tabs>
        <w:tab w:val="center" w:pos="4677"/>
        <w:tab w:val="right" w:pos="9355"/>
      </w:tabs>
    </w:pPr>
  </w:style>
  <w:style w:type="character" w:customStyle="1" w:styleId="aa">
    <w:name w:val="Нижний колонтитул Знак"/>
    <w:basedOn w:val="a0"/>
    <w:link w:val="a9"/>
    <w:rsid w:val="00ED4806"/>
    <w:rPr>
      <w:rFonts w:ascii="Times New Roman" w:eastAsia="Times New Roman" w:hAnsi="Times New Roman" w:cs="Times New Roman"/>
      <w:sz w:val="20"/>
      <w:szCs w:val="20"/>
      <w:lang w:eastAsia="ru-RU"/>
    </w:rPr>
  </w:style>
  <w:style w:type="paragraph" w:styleId="ab">
    <w:name w:val="List Paragraph"/>
    <w:basedOn w:val="a"/>
    <w:uiPriority w:val="34"/>
    <w:qFormat/>
    <w:rsid w:val="00AF16F1"/>
    <w:pPr>
      <w:ind w:left="720"/>
      <w:contextualSpacing/>
    </w:pPr>
  </w:style>
  <w:style w:type="character" w:customStyle="1" w:styleId="10">
    <w:name w:val="Заголовок 1 Знак"/>
    <w:basedOn w:val="a0"/>
    <w:link w:val="1"/>
    <w:rsid w:val="007C50D0"/>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7C50D0"/>
    <w:rPr>
      <w:rFonts w:ascii="Times New Roman" w:eastAsia="Times New Roman" w:hAnsi="Times New Roman" w:cs="Times New Roman"/>
      <w:i/>
      <w:sz w:val="28"/>
      <w:szCs w:val="20"/>
      <w:u w:val="single"/>
      <w:lang w:eastAsia="ru-RU"/>
    </w:rPr>
  </w:style>
  <w:style w:type="numbering" w:customStyle="1" w:styleId="11">
    <w:name w:val="Нет списка1"/>
    <w:next w:val="a2"/>
    <w:uiPriority w:val="99"/>
    <w:semiHidden/>
    <w:rsid w:val="007C50D0"/>
  </w:style>
  <w:style w:type="paragraph" w:styleId="ac">
    <w:name w:val="Body Text Indent"/>
    <w:basedOn w:val="a"/>
    <w:link w:val="ad"/>
    <w:uiPriority w:val="99"/>
    <w:rsid w:val="007C50D0"/>
    <w:pPr>
      <w:ind w:firstLine="851"/>
      <w:jc w:val="both"/>
    </w:pPr>
    <w:rPr>
      <w:sz w:val="28"/>
    </w:rPr>
  </w:style>
  <w:style w:type="character" w:customStyle="1" w:styleId="ad">
    <w:name w:val="Основной текст с отступом Знак"/>
    <w:basedOn w:val="a0"/>
    <w:link w:val="ac"/>
    <w:uiPriority w:val="99"/>
    <w:rsid w:val="007C50D0"/>
    <w:rPr>
      <w:rFonts w:ascii="Times New Roman" w:eastAsia="Times New Roman" w:hAnsi="Times New Roman" w:cs="Times New Roman"/>
      <w:sz w:val="28"/>
      <w:szCs w:val="20"/>
      <w:lang w:eastAsia="ru-RU"/>
    </w:rPr>
  </w:style>
  <w:style w:type="paragraph" w:styleId="21">
    <w:name w:val="Body Text Indent 2"/>
    <w:basedOn w:val="a"/>
    <w:link w:val="22"/>
    <w:rsid w:val="007C50D0"/>
    <w:pPr>
      <w:ind w:left="1276" w:hanging="425"/>
      <w:jc w:val="both"/>
    </w:pPr>
    <w:rPr>
      <w:sz w:val="28"/>
    </w:rPr>
  </w:style>
  <w:style w:type="character" w:customStyle="1" w:styleId="22">
    <w:name w:val="Основной текст с отступом 2 Знак"/>
    <w:basedOn w:val="a0"/>
    <w:link w:val="21"/>
    <w:rsid w:val="007C50D0"/>
    <w:rPr>
      <w:rFonts w:ascii="Times New Roman" w:eastAsia="Times New Roman" w:hAnsi="Times New Roman" w:cs="Times New Roman"/>
      <w:sz w:val="28"/>
      <w:szCs w:val="20"/>
      <w:lang w:eastAsia="ru-RU"/>
    </w:rPr>
  </w:style>
  <w:style w:type="paragraph" w:styleId="ae">
    <w:name w:val="Body Text"/>
    <w:basedOn w:val="a"/>
    <w:link w:val="af"/>
    <w:rsid w:val="007C50D0"/>
    <w:rPr>
      <w:sz w:val="24"/>
    </w:rPr>
  </w:style>
  <w:style w:type="character" w:customStyle="1" w:styleId="af">
    <w:name w:val="Основной текст Знак"/>
    <w:basedOn w:val="a0"/>
    <w:link w:val="ae"/>
    <w:rsid w:val="007C50D0"/>
    <w:rPr>
      <w:rFonts w:ascii="Times New Roman" w:eastAsia="Times New Roman" w:hAnsi="Times New Roman" w:cs="Times New Roman"/>
      <w:sz w:val="24"/>
      <w:szCs w:val="20"/>
      <w:lang w:eastAsia="ru-RU"/>
    </w:rPr>
  </w:style>
  <w:style w:type="paragraph" w:styleId="3">
    <w:name w:val="Body Text Indent 3"/>
    <w:basedOn w:val="a"/>
    <w:link w:val="30"/>
    <w:rsid w:val="007C50D0"/>
    <w:pPr>
      <w:ind w:firstLine="851"/>
    </w:pPr>
    <w:rPr>
      <w:sz w:val="28"/>
    </w:rPr>
  </w:style>
  <w:style w:type="character" w:customStyle="1" w:styleId="30">
    <w:name w:val="Основной текст с отступом 3 Знак"/>
    <w:basedOn w:val="a0"/>
    <w:link w:val="3"/>
    <w:rsid w:val="007C50D0"/>
    <w:rPr>
      <w:rFonts w:ascii="Times New Roman" w:eastAsia="Times New Roman" w:hAnsi="Times New Roman" w:cs="Times New Roman"/>
      <w:sz w:val="28"/>
      <w:szCs w:val="20"/>
      <w:lang w:eastAsia="ru-RU"/>
    </w:rPr>
  </w:style>
  <w:style w:type="table" w:styleId="af0">
    <w:name w:val="Table Grid"/>
    <w:basedOn w:val="a1"/>
    <w:rsid w:val="007C50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rsid w:val="007C50D0"/>
  </w:style>
  <w:style w:type="paragraph" w:customStyle="1" w:styleId="ConsNonformat">
    <w:name w:val="ConsNonformat"/>
    <w:rsid w:val="007C50D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annotation reference"/>
    <w:rsid w:val="007C50D0"/>
    <w:rPr>
      <w:sz w:val="16"/>
      <w:szCs w:val="16"/>
    </w:rPr>
  </w:style>
  <w:style w:type="paragraph" w:styleId="af3">
    <w:name w:val="annotation text"/>
    <w:basedOn w:val="a"/>
    <w:link w:val="af4"/>
    <w:rsid w:val="007C50D0"/>
  </w:style>
  <w:style w:type="character" w:customStyle="1" w:styleId="af4">
    <w:name w:val="Текст примечания Знак"/>
    <w:basedOn w:val="a0"/>
    <w:link w:val="af3"/>
    <w:rsid w:val="007C50D0"/>
    <w:rPr>
      <w:rFonts w:ascii="Times New Roman" w:eastAsia="Times New Roman" w:hAnsi="Times New Roman" w:cs="Times New Roman"/>
      <w:sz w:val="20"/>
      <w:szCs w:val="20"/>
      <w:lang w:eastAsia="ru-RU"/>
    </w:rPr>
  </w:style>
  <w:style w:type="paragraph" w:styleId="af5">
    <w:name w:val="annotation subject"/>
    <w:basedOn w:val="af3"/>
    <w:next w:val="af3"/>
    <w:link w:val="af6"/>
    <w:rsid w:val="007C50D0"/>
    <w:rPr>
      <w:b/>
      <w:bCs/>
    </w:rPr>
  </w:style>
  <w:style w:type="character" w:customStyle="1" w:styleId="af6">
    <w:name w:val="Тема примечания Знак"/>
    <w:basedOn w:val="af4"/>
    <w:link w:val="af5"/>
    <w:rsid w:val="007C50D0"/>
    <w:rPr>
      <w:rFonts w:ascii="Times New Roman" w:eastAsia="Times New Roman" w:hAnsi="Times New Roman" w:cs="Times New Roman"/>
      <w:b/>
      <w:bCs/>
      <w:sz w:val="20"/>
      <w:szCs w:val="20"/>
      <w:lang w:eastAsia="ru-RU"/>
    </w:rPr>
  </w:style>
  <w:style w:type="paragraph" w:styleId="af7">
    <w:name w:val="footnote text"/>
    <w:basedOn w:val="a"/>
    <w:link w:val="af8"/>
    <w:rsid w:val="007C50D0"/>
  </w:style>
  <w:style w:type="character" w:customStyle="1" w:styleId="af8">
    <w:name w:val="Текст сноски Знак"/>
    <w:basedOn w:val="a0"/>
    <w:link w:val="af7"/>
    <w:rsid w:val="007C50D0"/>
    <w:rPr>
      <w:rFonts w:ascii="Times New Roman" w:eastAsia="Times New Roman" w:hAnsi="Times New Roman" w:cs="Times New Roman"/>
      <w:sz w:val="20"/>
      <w:szCs w:val="20"/>
      <w:lang w:eastAsia="ru-RU"/>
    </w:rPr>
  </w:style>
  <w:style w:type="character" w:styleId="af9">
    <w:name w:val="footnote reference"/>
    <w:rsid w:val="007C50D0"/>
    <w:rPr>
      <w:vertAlign w:val="superscript"/>
    </w:rPr>
  </w:style>
  <w:style w:type="numbering" w:customStyle="1" w:styleId="110">
    <w:name w:val="Нет списка11"/>
    <w:next w:val="a2"/>
    <w:uiPriority w:val="99"/>
    <w:semiHidden/>
    <w:unhideWhenUsed/>
    <w:rsid w:val="007C5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6.xml"/><Relationship Id="rId39" Type="http://schemas.openxmlformats.org/officeDocument/2006/relationships/chart" Target="charts/chart24.xml"/><Relationship Id="rId21" Type="http://schemas.openxmlformats.org/officeDocument/2006/relationships/chart" Target="charts/chart14.xml"/><Relationship Id="rId34"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19.xml"/><Relationship Id="rId41" Type="http://schemas.openxmlformats.org/officeDocument/2006/relationships/hyperlink" Target="consultantplus://offline/ref=23E3CAAB3FEEAE2525004020ED9F2109F758E32A7C7EDC38D29941E05226F785A2DF410572C9D44Ej9oAG" TargetMode="External"/><Relationship Id="rId54" Type="http://schemas.openxmlformats.org/officeDocument/2006/relationships/chart" Target="charts/chart36.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5.xml"/><Relationship Id="rId32" Type="http://schemas.openxmlformats.org/officeDocument/2006/relationships/image" Target="media/image4.png"/><Relationship Id="rId37" Type="http://schemas.openxmlformats.org/officeDocument/2006/relationships/chart" Target="charts/chart23.xml"/><Relationship Id="rId40" Type="http://schemas.openxmlformats.org/officeDocument/2006/relationships/chart" Target="charts/chart25.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png"/><Relationship Id="rId28" Type="http://schemas.openxmlformats.org/officeDocument/2006/relationships/chart" Target="charts/chart18.xml"/><Relationship Id="rId36" Type="http://schemas.openxmlformats.org/officeDocument/2006/relationships/chart" Target="charts/chart22.xml"/><Relationship Id="rId49" Type="http://schemas.openxmlformats.org/officeDocument/2006/relationships/chart" Target="charts/chart31.xml"/><Relationship Id="rId57" Type="http://schemas.openxmlformats.org/officeDocument/2006/relationships/chart" Target="charts/chart39.xml"/><Relationship Id="rId61"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1.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png"/><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chart" Target="charts/chart1.xml"/><Relationship Id="rId51" Type="http://schemas.openxmlformats.org/officeDocument/2006/relationships/chart" Target="charts/chart33.xml"/><Relationship Id="rId3" Type="http://schemas.microsoft.com/office/2007/relationships/stylesWithEffects" Target="stylesWithEffect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3.png"/><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chart" Target="charts/chart28.xml"/><Relationship Id="rId59" Type="http://schemas.openxmlformats.org/officeDocument/2006/relationships/chart" Target="charts/chart4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306usd3\Desktop\&#1050;&#1085;&#1080;&#1075;&#1072;1.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F:\&#1050;&#1085;&#1080;&#1075;&#1072;12.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F:\&#1050;&#1085;&#1080;&#1075;&#1072;12.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040;&#1076;&#1084;&#1080;&#1085;\Desktop\&#1076;&#1080;&#1072;&#1075;&#1088;&#1072;&#1084;&#1084;&#1099;.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40;&#1076;&#1084;&#1080;&#1085;\Desktop\&#1076;&#1080;&#1072;&#1075;&#1088;&#1072;&#1084;&#1084;&#1099;.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3;&#1088;&#1072;&#1092;&#1080;&#1082;&#1080;%20&#1080;%20&#1090;&#1072;&#1073;&#1083;%20&#1082;%20&#1090;&#1077;&#1082;&#1089;&#1090;&#1091;%2012-2017.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3;&#1088;&#1072;&#1092;&#1080;&#1082;&#1080;%20&#1080;%20&#1090;&#1072;&#1073;&#1083;%20&#1082;%20&#1090;&#1077;&#1082;&#1089;&#1090;&#1091;%2012-2017.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3;&#1088;&#1072;&#1092;&#1080;&#1082;&#1080;%20&#1080;%20&#1090;&#1072;&#1073;&#1083;%20&#1082;%20&#1090;&#1077;&#1082;&#1089;&#1090;&#1091;%2012-2017.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3;&#1088;&#1072;&#1092;&#1080;&#1082;&#1080;%20&#1080;%20&#1090;&#1072;&#1073;&#1083;%20&#1082;%20&#1090;&#1077;&#1082;&#1089;&#1090;&#1091;%2012-2017.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3;&#1088;&#1072;&#1092;&#1080;&#1082;&#1080;%20&#1080;%20&#1090;&#1072;&#1073;&#1083;%20&#1082;%20&#1090;&#1077;&#1082;&#1089;&#1090;&#1091;%2012-2017.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306usd3\Desktop\&#1050;&#1085;&#1080;&#1075;&#1072;1.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3;&#1088;&#1072;&#1092;&#1080;&#1082;&#1080;%20&#1080;%20&#1090;&#1072;&#1073;&#1083;%20&#1082;%20&#1090;&#1077;&#1082;&#1089;&#1090;&#1091;%2012-2017.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3;&#1088;&#1072;&#1092;&#1080;&#1082;&#1080;%20&#1080;%20&#1090;&#1072;&#1073;&#1083;%20&#1082;%20&#1090;&#1077;&#1082;&#1089;&#1090;&#1091;%2012-2017.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3;&#1088;&#1072;&#1092;&#1080;&#1082;&#1080;%20&#1080;%20&#1090;&#1072;&#1073;&#1083;%20&#1082;%20&#1090;&#1077;&#1082;&#1089;&#1090;&#1091;%2012-2017.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3;&#1088;&#1072;&#1092;&#1080;&#1082;&#1080;%20&#1080;%20&#1090;&#1072;&#1073;&#1083;%20&#1082;%20&#1090;&#1077;&#1082;&#1089;&#1090;&#1091;%2012-2017.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3;&#1088;&#1072;&#1092;&#1080;&#1082;&#1080;%20&#1080;%20&#1090;&#1072;&#1073;&#1083;%20&#1082;%20&#1090;&#1077;&#1082;&#1089;&#1090;&#1091;%2012-2017.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3;&#1088;&#1072;&#1092;&#1080;&#1082;&#1080;%20&#1080;%20&#1090;&#1072;&#1073;&#1083;%20&#1082;%20&#1090;&#1077;&#1082;&#1089;&#1090;&#1091;%2012-2017.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3;&#1088;&#1072;&#1092;&#1080;&#1082;&#1080;%20&#1080;%20&#1090;&#1072;&#1073;&#1083;%20&#1082;%20&#1090;&#1077;&#1082;&#1089;&#1090;&#1091;%2012-2017.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D:\2017\2017-12\&#1040;&#1085;&#1072;&#1083;&#1080;&#1090;&#1080;&#1082;&#1072;-2017\&#1043;&#1088;&#1072;&#1092;&#1080;&#1082;&#1080;%20&#1080;%20&#1090;&#1072;&#1073;&#1083;%20&#1082;%20&#1090;&#1077;&#1082;&#1089;&#1090;&#1091;%2012-2017.xls"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D:\2017\2017-12\&#1040;&#1085;&#1072;&#1083;&#1080;&#1090;&#1080;&#1082;&#1072;-2017\4.14.&#1044;&#1080;&#1072;&#1075;&#1088;&#1072;&#1084;&#1084;&#1099;&#1079;&#1072;12&#1084;&#1077;&#1089;%202017.xls"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D:\2017\2017-12\&#1040;&#1085;&#1072;&#1083;&#1080;&#1090;&#1080;&#1082;&#1072;-2017\&#1043;&#1088;&#1072;&#1092;&#1080;&#1082;&#1080;%20&#1080;%20&#1090;&#1072;&#1073;&#1083;%20&#1082;%20&#1090;&#1077;&#1082;&#1089;&#1090;&#1091;%2012-2017.xls"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F:\&#1050;&#1085;&#1080;&#1075;&#1072;1.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2017\2017-12\&#1040;&#1085;&#1072;&#1083;&#1080;&#1090;&#1080;&#1082;&#1072;-2017\&#1043;&#1088;&#1072;&#1092;&#1080;&#1082;&#1080;%20&#1080;%20&#1090;&#1072;&#1073;&#1083;%20&#1082;%20&#1090;&#1077;&#1082;&#1089;&#1090;&#1091;%2012-2017.xls"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D:\2017\2017-12\&#1040;&#1085;&#1072;&#1083;&#1080;&#1090;&#1080;&#1082;&#1072;-2017\4.14.&#1044;&#1080;&#1072;&#1075;&#1088;&#1072;&#1084;&#1084;&#1099;&#1079;&#1072;12&#1084;&#1077;&#1089;%202017.xls"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2017\2017-12\&#1040;&#1085;&#1072;&#1083;&#1080;&#1090;&#1080;&#1082;&#1072;-2017\4.14.&#1044;&#1080;&#1072;&#1075;&#1088;&#1072;&#1084;&#1084;&#1099;&#1079;&#1072;12&#1084;&#1077;&#1089;%202017.xls"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017\2017-12\&#1040;&#1085;&#1072;&#1083;&#1080;&#1090;&#1080;&#1082;&#1072;-2017\4.14.&#1044;&#1080;&#1072;&#1075;&#1088;&#1072;&#1084;&#1084;&#1099;&#1079;&#1072;12&#1084;&#1077;&#1089;%202017.xls"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D:\2017\2017-12\&#1040;&#1085;&#1072;&#1083;&#1080;&#1090;&#1080;&#1082;&#1072;-2017\4.14.&#1044;&#1080;&#1072;&#1075;&#1088;&#1072;&#1084;&#1084;&#1099;&#1079;&#1072;12&#1084;&#1077;&#1089;%202017-&#1043;&#1056;.xls"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4;&#1080;&#1072;&#1075;&#1088;&#1072;&#1084;&#1084;&#1099;%20&#1082;%20&#1089;&#1091;&#1076;&#1080;&#1084;&#1086;&#1089;&#1090;&#1080;.xls"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4;&#1080;&#1072;&#1075;&#1088;&#1072;&#1084;&#1084;&#1099;%20&#1082;%20&#1089;&#1091;&#1076;&#1080;&#1084;&#1086;&#1089;&#1090;&#1080;.xls"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4;&#1080;&#1072;&#1075;&#1088;&#1072;&#1084;&#1084;&#1099;%20&#1082;%20&#1089;&#1091;&#1076;&#1080;&#1084;&#1086;&#1089;&#1090;&#1080;.xls"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4;&#1080;&#1072;&#1075;&#1088;&#1072;&#1084;&#1084;&#1099;%20&#1082;%20&#1089;&#1091;&#1076;&#1080;&#1084;&#1086;&#1089;&#1090;&#1080;.xls"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4;&#1080;&#1072;&#1075;&#1088;&#1072;&#1084;&#1084;&#1099;%20&#1082;%20&#1089;&#1091;&#1076;&#1080;&#1084;&#1086;&#1089;&#1090;&#1080;.xls"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306usd3\Desktop\&#1050;&#1085;&#1080;&#1075;&#1072;1.xls"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4;&#1080;&#1072;&#1075;&#1088;&#1072;&#1084;&#1084;&#1099;%20&#1082;%20&#1089;&#1091;&#1076;&#1080;&#1084;&#1086;&#1089;&#1090;&#1080;.xls"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D:\1\2017\&#1040;&#1053;&#1040;&#1051;&#1048;&#1058;&#1048;&#1050;&#1040;\&#1046;&#1059;&#1056;&#1053;&#1040;&#1051;-2017\&#1044;&#1080;&#1072;&#1075;&#1088;&#1072;&#1084;&#1084;&#1099;%20&#1082;%20&#1089;&#1091;&#1076;&#1080;&#1084;&#1086;&#1089;&#1090;&#1080;.xls" TargetMode="External"/><Relationship Id="rId1" Type="http://schemas.openxmlformats.org/officeDocument/2006/relationships/themeOverride" Target="../theme/themeOverride41.xml"/></Relationships>
</file>

<file path=word/charts/_rels/chart5.xml.rels><?xml version="1.0" encoding="UTF-8" standalone="yes"?>
<Relationships xmlns="http://schemas.openxmlformats.org/package/2006/relationships"><Relationship Id="rId2" Type="http://schemas.openxmlformats.org/officeDocument/2006/relationships/oleObject" Target="file:///F:\&#1050;&#1085;&#1080;&#1075;&#1072;12.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1050;&#1085;&#1080;&#1075;&#1072;1.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1050;&#1085;&#1080;&#1075;&#1072;1.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1050;&#1085;&#1080;&#1075;&#1072;12.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F:\&#1050;&#1085;&#1080;&#1075;&#1072;12.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sz="1100" b="1">
                <a:latin typeface="Times New Roman" panose="02020603050405020304" pitchFamily="18" charset="0"/>
                <a:cs typeface="Times New Roman" panose="02020603050405020304" pitchFamily="18" charset="0"/>
              </a:rPr>
              <a:t>Кол-во поступивших уголовных дел в первую инстанцию</a:t>
            </a:r>
          </a:p>
        </c:rich>
      </c:tx>
      <c:overlay val="0"/>
      <c:spPr>
        <a:noFill/>
        <a:ln>
          <a:noFill/>
        </a:ln>
        <a:effectLst/>
      </c:spPr>
    </c:title>
    <c:autoTitleDeleted val="0"/>
    <c:plotArea>
      <c:layout>
        <c:manualLayout>
          <c:layoutTarget val="inner"/>
          <c:xMode val="edge"/>
          <c:yMode val="edge"/>
          <c:x val="7.5701242514128686E-2"/>
          <c:y val="0.18022024436737252"/>
          <c:w val="0.89511057140940908"/>
          <c:h val="0.69166784458172925"/>
        </c:manualLayout>
      </c:layout>
      <c:barChart>
        <c:barDir val="col"/>
        <c:grouping val="clustered"/>
        <c:varyColors val="0"/>
        <c:ser>
          <c:idx val="0"/>
          <c:order val="0"/>
          <c:tx>
            <c:strRef>
              <c:f>Лист1!$A$2</c:f>
              <c:strCache>
                <c:ptCount val="1"/>
                <c:pt idx="0">
                  <c:v>Кол-во поступивших уголовных дел в первую инстанцию</c:v>
                </c:pt>
              </c:strCache>
            </c:strRef>
          </c:tx>
          <c:spPr>
            <a:gradFill flip="none" rotWithShape="1">
              <a:gsLst>
                <a:gs pos="22000">
                  <a:srgbClr val="7030A0"/>
                </a:gs>
                <a:gs pos="100000">
                  <a:srgbClr val="DDBBC5"/>
                </a:gs>
              </a:gsLst>
              <a:lin ang="0" scaled="1"/>
              <a:tileRect/>
            </a:gradFill>
            <a:ln>
              <a:noFill/>
            </a:ln>
            <a:effectLst/>
          </c:spPr>
          <c:invertIfNegative val="0"/>
          <c:dPt>
            <c:idx val="1"/>
            <c:invertIfNegative val="0"/>
            <c:bubble3D val="0"/>
            <c:spPr>
              <a:gradFill flip="none" rotWithShape="1">
                <a:gsLst>
                  <a:gs pos="22000">
                    <a:srgbClr val="7030A0"/>
                  </a:gs>
                  <a:gs pos="100000">
                    <a:srgbClr val="DDBBC5"/>
                  </a:gs>
                </a:gsLst>
                <a:lin ang="0" scaled="1"/>
                <a:tileRect/>
              </a:gradFill>
              <a:ln w="12700">
                <a:noFill/>
              </a:ln>
              <a:effectLst/>
            </c:spPr>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Лист1!$B$1:$F$1</c:f>
              <c:numCache>
                <c:formatCode>General</c:formatCode>
                <c:ptCount val="5"/>
                <c:pt idx="0">
                  <c:v>2013</c:v>
                </c:pt>
                <c:pt idx="1">
                  <c:v>2014</c:v>
                </c:pt>
                <c:pt idx="2">
                  <c:v>2015</c:v>
                </c:pt>
                <c:pt idx="3">
                  <c:v>2016</c:v>
                </c:pt>
                <c:pt idx="4">
                  <c:v>2017</c:v>
                </c:pt>
              </c:numCache>
            </c:numRef>
          </c:cat>
          <c:val>
            <c:numRef>
              <c:f>Лист1!$B$2:$F$2</c:f>
              <c:numCache>
                <c:formatCode>General</c:formatCode>
                <c:ptCount val="5"/>
                <c:pt idx="0">
                  <c:v>98</c:v>
                </c:pt>
                <c:pt idx="1">
                  <c:v>69</c:v>
                </c:pt>
                <c:pt idx="2">
                  <c:v>39</c:v>
                </c:pt>
                <c:pt idx="3">
                  <c:v>59</c:v>
                </c:pt>
                <c:pt idx="4">
                  <c:v>30</c:v>
                </c:pt>
              </c:numCache>
            </c:numRef>
          </c:val>
        </c:ser>
        <c:dLbls>
          <c:dLblPos val="outEnd"/>
          <c:showLegendKey val="0"/>
          <c:showVal val="1"/>
          <c:showCatName val="0"/>
          <c:showSerName val="0"/>
          <c:showPercent val="0"/>
          <c:showBubbleSize val="0"/>
        </c:dLbls>
        <c:gapWidth val="131"/>
        <c:overlap val="-27"/>
        <c:axId val="342243200"/>
        <c:axId val="455179648"/>
      </c:barChart>
      <c:catAx>
        <c:axId val="34224320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55179648"/>
        <c:crosses val="autoZero"/>
        <c:auto val="1"/>
        <c:lblAlgn val="ctr"/>
        <c:lblOffset val="100"/>
        <c:noMultiLvlLbl val="0"/>
      </c:catAx>
      <c:valAx>
        <c:axId val="455179648"/>
        <c:scaling>
          <c:orientation val="minMax"/>
        </c:scaling>
        <c:delete val="0"/>
        <c:axPos val="l"/>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342243200"/>
        <c:crosses val="autoZero"/>
        <c:crossBetween val="between"/>
      </c:valAx>
      <c:spPr>
        <a:noFill/>
        <a:ln>
          <a:solidFill>
            <a:schemeClr val="bg1"/>
          </a:solidFill>
        </a:ln>
        <a:effectLst/>
      </c:spPr>
    </c:plotArea>
    <c:plotVisOnly val="1"/>
    <c:dispBlanksAs val="gap"/>
    <c:showDLblsOverMax val="0"/>
  </c:chart>
  <c:spPr>
    <a:gradFill flip="none" rotWithShape="1">
      <a:gsLst>
        <a:gs pos="0">
          <a:schemeClr val="accent1">
            <a:lumMod val="75000"/>
          </a:schemeClr>
        </a:gs>
        <a:gs pos="69000">
          <a:schemeClr val="accent1">
            <a:lumMod val="40000"/>
            <a:lumOff val="60000"/>
          </a:schemeClr>
        </a:gs>
      </a:gsLst>
      <a:path path="circle">
        <a:fillToRect t="100000" r="100000"/>
      </a:path>
      <a:tileRect l="-100000" b="-100000"/>
    </a:gradFill>
    <a:ln w="9525" cap="flat" cmpd="sng" algn="ctr">
      <a:solidFill>
        <a:schemeClr val="tx1">
          <a:lumMod val="15000"/>
          <a:lumOff val="85000"/>
        </a:schemeClr>
      </a:solidFill>
      <a:round/>
    </a:ln>
    <a:effectLst/>
  </c:spPr>
  <c:txPr>
    <a:bodyPr/>
    <a:lstStyle/>
    <a:p>
      <a:pPr>
        <a:defRPr b="1" i="0" baseline="0"/>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aseline="0">
                <a:latin typeface="Times New Roman" panose="02020603050405020304" pitchFamily="18" charset="0"/>
                <a:cs typeface="Times New Roman" panose="02020603050405020304" pitchFamily="18" charset="0"/>
              </a:rPr>
              <a:t>Кол-во поступивших кассационных жалоб</a:t>
            </a:r>
          </a:p>
        </c:rich>
      </c:tx>
      <c:overlay val="0"/>
    </c:title>
    <c:autoTitleDeleted val="0"/>
    <c:plotArea>
      <c:layout/>
      <c:barChart>
        <c:barDir val="col"/>
        <c:grouping val="clustered"/>
        <c:varyColors val="0"/>
        <c:ser>
          <c:idx val="0"/>
          <c:order val="0"/>
          <c:tx>
            <c:strRef>
              <c:f>Лист1!$A$168</c:f>
              <c:strCache>
                <c:ptCount val="1"/>
                <c:pt idx="0">
                  <c:v>Кол-во постпивших кассационных жалоб</c:v>
                </c:pt>
              </c:strCache>
            </c:strRef>
          </c:tx>
          <c:spPr>
            <a:gradFill flip="none" rotWithShape="1">
              <a:gsLst>
                <a:gs pos="17000">
                  <a:srgbClr val="A23092"/>
                </a:gs>
                <a:gs pos="69000">
                  <a:srgbClr val="C0504D">
                    <a:lumMod val="40000"/>
                    <a:lumOff val="60000"/>
                  </a:srgbClr>
                </a:gs>
              </a:gsLst>
              <a:lin ang="0" scaled="1"/>
              <a:tileRect/>
            </a:gradFill>
            <a:ln w="12700">
              <a:gradFill flip="none" rotWithShape="1">
                <a:gsLst>
                  <a:gs pos="0">
                    <a:srgbClr val="9E2E8E"/>
                  </a:gs>
                  <a:gs pos="66000">
                    <a:srgbClr val="8064A2">
                      <a:lumMod val="20000"/>
                      <a:lumOff val="80000"/>
                    </a:srgbClr>
                  </a:gs>
                  <a:gs pos="100000">
                    <a:srgbClr val="8064A2">
                      <a:lumMod val="20000"/>
                      <a:lumOff val="80000"/>
                    </a:srgbClr>
                  </a:gs>
                </a:gsLst>
                <a:lin ang="0" scaled="1"/>
                <a:tileRect/>
              </a:gradFill>
            </a:ln>
          </c:spPr>
          <c:invertIfNegative val="0"/>
          <c:dLbls>
            <c:txPr>
              <a:bodyPr/>
              <a:lstStyle/>
              <a:p>
                <a:pPr>
                  <a:defRPr b="1" i="0" baseline="0"/>
                </a:pPr>
                <a:endParaRPr lang="ru-RU"/>
              </a:p>
            </c:txPr>
            <c:dLblPos val="outEnd"/>
            <c:showLegendKey val="0"/>
            <c:showVal val="1"/>
            <c:showCatName val="0"/>
            <c:showSerName val="0"/>
            <c:showPercent val="0"/>
            <c:showBubbleSize val="0"/>
            <c:showLeaderLines val="0"/>
          </c:dLbls>
          <c:cat>
            <c:numRef>
              <c:f>Лист1!$B$167:$F$167</c:f>
              <c:numCache>
                <c:formatCode>General</c:formatCode>
                <c:ptCount val="5"/>
                <c:pt idx="0">
                  <c:v>2013</c:v>
                </c:pt>
                <c:pt idx="1">
                  <c:v>2014</c:v>
                </c:pt>
                <c:pt idx="2">
                  <c:v>2015</c:v>
                </c:pt>
                <c:pt idx="3">
                  <c:v>2016</c:v>
                </c:pt>
                <c:pt idx="4">
                  <c:v>2017</c:v>
                </c:pt>
              </c:numCache>
            </c:numRef>
          </c:cat>
          <c:val>
            <c:numRef>
              <c:f>Лист1!$B$168:$F$168</c:f>
              <c:numCache>
                <c:formatCode>General</c:formatCode>
                <c:ptCount val="5"/>
                <c:pt idx="0">
                  <c:v>4198</c:v>
                </c:pt>
                <c:pt idx="1">
                  <c:v>4365</c:v>
                </c:pt>
                <c:pt idx="2">
                  <c:v>4523</c:v>
                </c:pt>
                <c:pt idx="3">
                  <c:v>4420</c:v>
                </c:pt>
                <c:pt idx="4">
                  <c:v>5622</c:v>
                </c:pt>
              </c:numCache>
            </c:numRef>
          </c:val>
        </c:ser>
        <c:dLbls>
          <c:dLblPos val="outEnd"/>
          <c:showLegendKey val="0"/>
          <c:showVal val="1"/>
          <c:showCatName val="0"/>
          <c:showSerName val="0"/>
          <c:showPercent val="0"/>
          <c:showBubbleSize val="0"/>
        </c:dLbls>
        <c:gapWidth val="90"/>
        <c:axId val="158543232"/>
        <c:axId val="158550272"/>
      </c:barChart>
      <c:catAx>
        <c:axId val="158543232"/>
        <c:scaling>
          <c:orientation val="minMax"/>
        </c:scaling>
        <c:delete val="0"/>
        <c:axPos val="b"/>
        <c:numFmt formatCode="General" sourceLinked="1"/>
        <c:majorTickMark val="out"/>
        <c:minorTickMark val="none"/>
        <c:tickLblPos val="nextTo"/>
        <c:spPr>
          <a:ln>
            <a:solidFill>
              <a:schemeClr val="tx1"/>
            </a:solidFill>
          </a:ln>
        </c:spPr>
        <c:txPr>
          <a:bodyPr/>
          <a:lstStyle/>
          <a:p>
            <a:pPr>
              <a:defRPr b="1" i="0" baseline="0"/>
            </a:pPr>
            <a:endParaRPr lang="ru-RU"/>
          </a:p>
        </c:txPr>
        <c:crossAx val="158550272"/>
        <c:crosses val="autoZero"/>
        <c:auto val="1"/>
        <c:lblAlgn val="ctr"/>
        <c:lblOffset val="100"/>
        <c:noMultiLvlLbl val="0"/>
      </c:catAx>
      <c:valAx>
        <c:axId val="158550272"/>
        <c:scaling>
          <c:orientation val="minMax"/>
        </c:scaling>
        <c:delete val="0"/>
        <c:axPos val="l"/>
        <c:numFmt formatCode="General" sourceLinked="1"/>
        <c:majorTickMark val="out"/>
        <c:minorTickMark val="none"/>
        <c:tickLblPos val="nextTo"/>
        <c:spPr>
          <a:ln>
            <a:solidFill>
              <a:schemeClr val="tx1"/>
            </a:solidFill>
          </a:ln>
        </c:spPr>
        <c:txPr>
          <a:bodyPr/>
          <a:lstStyle/>
          <a:p>
            <a:pPr>
              <a:defRPr b="1" i="0" baseline="0"/>
            </a:pPr>
            <a:endParaRPr lang="ru-RU"/>
          </a:p>
        </c:txPr>
        <c:crossAx val="158543232"/>
        <c:crosses val="autoZero"/>
        <c:crossBetween val="between"/>
      </c:valAx>
      <c:spPr>
        <a:gradFill flip="none" rotWithShape="1">
          <a:gsLst>
            <a:gs pos="9000">
              <a:srgbClr val="94A46C"/>
            </a:gs>
            <a:gs pos="58000">
              <a:srgbClr val="9BBB59">
                <a:lumMod val="20000"/>
                <a:lumOff val="80000"/>
              </a:srgbClr>
            </a:gs>
          </a:gsLst>
          <a:lin ang="18900000" scaled="1"/>
          <a:tileRect/>
        </a:gradFill>
      </c:spPr>
    </c:plotArea>
    <c:plotVisOnly val="1"/>
    <c:dispBlanksAs val="gap"/>
    <c:showDLblsOverMax val="0"/>
  </c:chart>
  <c:spPr>
    <a:gradFill flip="none" rotWithShape="1">
      <a:gsLst>
        <a:gs pos="17000">
          <a:srgbClr val="A8B690"/>
        </a:gs>
        <a:gs pos="59000">
          <a:srgbClr val="9BBB59">
            <a:lumMod val="20000"/>
            <a:lumOff val="80000"/>
          </a:srgbClr>
        </a:gs>
      </a:gsLst>
      <a:lin ang="18900000" scaled="1"/>
      <a:tileRect/>
    </a:gradFill>
    <a:ln>
      <a:gradFill>
        <a:gsLst>
          <a:gs pos="0">
            <a:srgbClr val="7D2570"/>
          </a:gs>
          <a:gs pos="50000">
            <a:srgbClr val="8064A2">
              <a:lumMod val="20000"/>
              <a:lumOff val="80000"/>
            </a:srgbClr>
          </a:gs>
          <a:gs pos="100000">
            <a:srgbClr val="8064A2">
              <a:lumMod val="40000"/>
              <a:lumOff val="60000"/>
            </a:srgbClr>
          </a:gs>
        </a:gsLst>
        <a:lin ang="5400000" scaled="0"/>
      </a:gra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aseline="0">
                <a:latin typeface="Times New Roman" panose="02020603050405020304" pitchFamily="18" charset="0"/>
                <a:cs typeface="Times New Roman" panose="02020603050405020304" pitchFamily="18" charset="0"/>
              </a:rPr>
              <a:t>Кол-во переданных кассационных жалоб в президиум Верховного Суда Республики Татарстан</a:t>
            </a:r>
          </a:p>
        </c:rich>
      </c:tx>
      <c:overlay val="0"/>
    </c:title>
    <c:autoTitleDeleted val="0"/>
    <c:plotArea>
      <c:layout>
        <c:manualLayout>
          <c:layoutTarget val="inner"/>
          <c:xMode val="edge"/>
          <c:yMode val="edge"/>
          <c:x val="8.1241195016854367E-2"/>
          <c:y val="7.3227372788462405E-2"/>
          <c:w val="0.8899180981731879"/>
          <c:h val="0.81140055997027993"/>
        </c:manualLayout>
      </c:layout>
      <c:barChart>
        <c:barDir val="col"/>
        <c:grouping val="clustered"/>
        <c:varyColors val="0"/>
        <c:ser>
          <c:idx val="0"/>
          <c:order val="0"/>
          <c:tx>
            <c:strRef>
              <c:f>Лист1!$A$182</c:f>
              <c:strCache>
                <c:ptCount val="1"/>
                <c:pt idx="0">
                  <c:v>Кол-во переданных кассационных жалоб в Президиум Верховного Суда Республики Татарстан</c:v>
                </c:pt>
              </c:strCache>
            </c:strRef>
          </c:tx>
          <c:spPr>
            <a:gradFill flip="none" rotWithShape="1">
              <a:gsLst>
                <a:gs pos="2000">
                  <a:srgbClr val="9BBB59">
                    <a:lumMod val="75000"/>
                  </a:srgbClr>
                </a:gs>
                <a:gs pos="56000">
                  <a:srgbClr val="F79646">
                    <a:lumMod val="40000"/>
                    <a:lumOff val="60000"/>
                  </a:srgbClr>
                </a:gs>
                <a:gs pos="72000">
                  <a:srgbClr val="9BBB59">
                    <a:lumMod val="40000"/>
                    <a:lumOff val="60000"/>
                  </a:srgbClr>
                </a:gs>
              </a:gsLst>
              <a:lin ang="0" scaled="1"/>
              <a:tileRect/>
            </a:gradFill>
            <a:ln w="12700">
              <a:gradFill flip="none" rotWithShape="1">
                <a:gsLst>
                  <a:gs pos="0">
                    <a:srgbClr val="9BBB59">
                      <a:lumMod val="50000"/>
                    </a:srgbClr>
                  </a:gs>
                  <a:gs pos="100000">
                    <a:srgbClr val="9BBB59">
                      <a:lumMod val="40000"/>
                      <a:lumOff val="60000"/>
                    </a:srgbClr>
                  </a:gs>
                  <a:gs pos="100000">
                    <a:srgbClr val="9BBB59">
                      <a:lumMod val="40000"/>
                      <a:lumOff val="60000"/>
                    </a:srgbClr>
                  </a:gs>
                </a:gsLst>
                <a:lin ang="0" scaled="1"/>
                <a:tileRect/>
              </a:gradFill>
            </a:ln>
          </c:spPr>
          <c:invertIfNegative val="0"/>
          <c:dLbls>
            <c:txPr>
              <a:bodyPr/>
              <a:lstStyle/>
              <a:p>
                <a:pPr>
                  <a:defRPr b="1" i="0" baseline="0"/>
                </a:pPr>
                <a:endParaRPr lang="ru-RU"/>
              </a:p>
            </c:txPr>
            <c:dLblPos val="outEnd"/>
            <c:showLegendKey val="0"/>
            <c:showVal val="1"/>
            <c:showCatName val="0"/>
            <c:showSerName val="0"/>
            <c:showPercent val="0"/>
            <c:showBubbleSize val="0"/>
            <c:showLeaderLines val="0"/>
          </c:dLbls>
          <c:trendline>
            <c:spPr>
              <a:ln w="25400">
                <a:solidFill>
                  <a:srgbClr val="9BBB59">
                    <a:lumMod val="75000"/>
                  </a:srgbClr>
                </a:solidFill>
              </a:ln>
            </c:spPr>
            <c:trendlineType val="linear"/>
            <c:dispRSqr val="0"/>
            <c:dispEq val="0"/>
          </c:trendline>
          <c:cat>
            <c:numRef>
              <c:f>Лист1!$B$181:$F$181</c:f>
              <c:numCache>
                <c:formatCode>General</c:formatCode>
                <c:ptCount val="5"/>
                <c:pt idx="0">
                  <c:v>2013</c:v>
                </c:pt>
                <c:pt idx="1">
                  <c:v>2014</c:v>
                </c:pt>
                <c:pt idx="2">
                  <c:v>2015</c:v>
                </c:pt>
                <c:pt idx="3">
                  <c:v>2016</c:v>
                </c:pt>
                <c:pt idx="4">
                  <c:v>2017</c:v>
                </c:pt>
              </c:numCache>
            </c:numRef>
          </c:cat>
          <c:val>
            <c:numRef>
              <c:f>Лист1!$B$182:$F$182</c:f>
              <c:numCache>
                <c:formatCode>General</c:formatCode>
                <c:ptCount val="5"/>
                <c:pt idx="0">
                  <c:v>119</c:v>
                </c:pt>
                <c:pt idx="1">
                  <c:v>120</c:v>
                </c:pt>
                <c:pt idx="2">
                  <c:v>129</c:v>
                </c:pt>
                <c:pt idx="3">
                  <c:v>107</c:v>
                </c:pt>
                <c:pt idx="4">
                  <c:v>144</c:v>
                </c:pt>
              </c:numCache>
            </c:numRef>
          </c:val>
        </c:ser>
        <c:dLbls>
          <c:showLegendKey val="0"/>
          <c:showVal val="0"/>
          <c:showCatName val="0"/>
          <c:showSerName val="0"/>
          <c:showPercent val="0"/>
          <c:showBubbleSize val="0"/>
        </c:dLbls>
        <c:gapWidth val="108"/>
        <c:axId val="158559232"/>
        <c:axId val="158561024"/>
      </c:barChart>
      <c:catAx>
        <c:axId val="158559232"/>
        <c:scaling>
          <c:orientation val="minMax"/>
        </c:scaling>
        <c:delete val="0"/>
        <c:axPos val="b"/>
        <c:numFmt formatCode="General" sourceLinked="1"/>
        <c:majorTickMark val="out"/>
        <c:minorTickMark val="none"/>
        <c:tickLblPos val="nextTo"/>
        <c:spPr>
          <a:ln>
            <a:solidFill>
              <a:schemeClr val="tx1"/>
            </a:solidFill>
          </a:ln>
        </c:spPr>
        <c:txPr>
          <a:bodyPr/>
          <a:lstStyle/>
          <a:p>
            <a:pPr>
              <a:defRPr b="1" i="0" baseline="0"/>
            </a:pPr>
            <a:endParaRPr lang="ru-RU"/>
          </a:p>
        </c:txPr>
        <c:crossAx val="158561024"/>
        <c:crosses val="autoZero"/>
        <c:auto val="1"/>
        <c:lblAlgn val="ctr"/>
        <c:lblOffset val="100"/>
        <c:noMultiLvlLbl val="0"/>
      </c:catAx>
      <c:valAx>
        <c:axId val="158561024"/>
        <c:scaling>
          <c:orientation val="minMax"/>
        </c:scaling>
        <c:delete val="0"/>
        <c:axPos val="l"/>
        <c:numFmt formatCode="General" sourceLinked="1"/>
        <c:majorTickMark val="out"/>
        <c:minorTickMark val="none"/>
        <c:tickLblPos val="nextTo"/>
        <c:spPr>
          <a:ln>
            <a:solidFill>
              <a:schemeClr val="tx1"/>
            </a:solidFill>
          </a:ln>
        </c:spPr>
        <c:txPr>
          <a:bodyPr/>
          <a:lstStyle/>
          <a:p>
            <a:pPr>
              <a:defRPr b="1" i="0" baseline="0"/>
            </a:pPr>
            <a:endParaRPr lang="ru-RU"/>
          </a:p>
        </c:txPr>
        <c:crossAx val="158559232"/>
        <c:crosses val="autoZero"/>
        <c:crossBetween val="between"/>
      </c:valAx>
      <c:spPr>
        <a:gradFill flip="none" rotWithShape="1">
          <a:gsLst>
            <a:gs pos="1000">
              <a:srgbClr val="C0504D">
                <a:lumMod val="60000"/>
                <a:lumOff val="40000"/>
              </a:srgbClr>
            </a:gs>
            <a:gs pos="63000">
              <a:srgbClr val="C0504D">
                <a:lumMod val="20000"/>
                <a:lumOff val="80000"/>
              </a:srgbClr>
            </a:gs>
          </a:gsLst>
          <a:lin ang="18900000" scaled="1"/>
          <a:tileRect/>
        </a:gradFill>
      </c:spPr>
    </c:plotArea>
    <c:plotVisOnly val="1"/>
    <c:dispBlanksAs val="gap"/>
    <c:showDLblsOverMax val="0"/>
  </c:chart>
  <c:spPr>
    <a:gradFill flip="none" rotWithShape="1">
      <a:gsLst>
        <a:gs pos="1000">
          <a:srgbClr val="C0504D">
            <a:lumMod val="60000"/>
            <a:lumOff val="40000"/>
          </a:srgbClr>
        </a:gs>
        <a:gs pos="57000">
          <a:srgbClr val="C0504D">
            <a:lumMod val="20000"/>
            <a:lumOff val="80000"/>
          </a:srgbClr>
        </a:gs>
      </a:gsLst>
      <a:lin ang="18900000" scaled="1"/>
      <a:tileRect/>
    </a:gra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50" baseline="0">
                <a:latin typeface="Times New Roman" panose="02020603050405020304" pitchFamily="18" charset="0"/>
                <a:cs typeface="Times New Roman" panose="02020603050405020304" pitchFamily="18" charset="0"/>
              </a:rPr>
              <a:t>Кол-во поступивших и оконченных дел об дминистративных правонарушениях </a:t>
            </a:r>
          </a:p>
        </c:rich>
      </c:tx>
      <c:layout>
        <c:manualLayout>
          <c:xMode val="edge"/>
          <c:yMode val="edge"/>
          <c:x val="0.15461151401858225"/>
          <c:y val="1.4880760294307474E-3"/>
        </c:manualLayout>
      </c:layout>
      <c:overlay val="1"/>
    </c:title>
    <c:autoTitleDeleted val="0"/>
    <c:plotArea>
      <c:layout>
        <c:manualLayout>
          <c:layoutTarget val="inner"/>
          <c:xMode val="edge"/>
          <c:yMode val="edge"/>
          <c:x val="7.9755412611678247E-2"/>
          <c:y val="6.9310297534529497E-2"/>
          <c:w val="0.92024458863830827"/>
          <c:h val="0.76174034028544724"/>
        </c:manualLayout>
      </c:layout>
      <c:barChart>
        <c:barDir val="col"/>
        <c:grouping val="clustered"/>
        <c:varyColors val="0"/>
        <c:ser>
          <c:idx val="0"/>
          <c:order val="0"/>
          <c:tx>
            <c:strRef>
              <c:f>Лист1!$A$2</c:f>
              <c:strCache>
                <c:ptCount val="1"/>
                <c:pt idx="0">
                  <c:v>Всего поступило жалоб и представлений</c:v>
                </c:pt>
              </c:strCache>
            </c:strRef>
          </c:tx>
          <c:spPr>
            <a:gradFill>
              <a:gsLst>
                <a:gs pos="27000">
                  <a:srgbClr val="F79646">
                    <a:lumMod val="75000"/>
                  </a:srgbClr>
                </a:gs>
                <a:gs pos="68000">
                  <a:srgbClr val="F79646">
                    <a:lumMod val="20000"/>
                    <a:lumOff val="80000"/>
                  </a:srgbClr>
                </a:gs>
              </a:gsLst>
              <a:lin ang="0" scaled="1"/>
            </a:gradFill>
            <a:ln w="12700">
              <a:noFill/>
            </a:ln>
          </c:spPr>
          <c:invertIfNegative val="0"/>
          <c:dLbls>
            <c:txPr>
              <a:bodyPr/>
              <a:lstStyle/>
              <a:p>
                <a:pPr>
                  <a:defRPr b="1" i="0" baseline="0"/>
                </a:pPr>
                <a:endParaRPr lang="ru-RU"/>
              </a:p>
            </c:txPr>
            <c:dLblPos val="outEnd"/>
            <c:showLegendKey val="0"/>
            <c:showVal val="1"/>
            <c:showCatName val="0"/>
            <c:showSerName val="0"/>
            <c:showPercent val="0"/>
            <c:showBubbleSize val="0"/>
            <c:showLeaderLines val="0"/>
          </c:dLbls>
          <c:cat>
            <c:numRef>
              <c:f>Лист1!$B$1:$F$1</c:f>
              <c:numCache>
                <c:formatCode>General</c:formatCode>
                <c:ptCount val="5"/>
                <c:pt idx="0">
                  <c:v>2013</c:v>
                </c:pt>
                <c:pt idx="1">
                  <c:v>2014</c:v>
                </c:pt>
                <c:pt idx="2">
                  <c:v>2015</c:v>
                </c:pt>
                <c:pt idx="3">
                  <c:v>2016</c:v>
                </c:pt>
                <c:pt idx="4">
                  <c:v>2017</c:v>
                </c:pt>
              </c:numCache>
            </c:numRef>
          </c:cat>
          <c:val>
            <c:numRef>
              <c:f>Лист1!$B$2:$F$2</c:f>
              <c:numCache>
                <c:formatCode>General</c:formatCode>
                <c:ptCount val="5"/>
                <c:pt idx="0">
                  <c:v>2732</c:v>
                </c:pt>
                <c:pt idx="1">
                  <c:v>3668</c:v>
                </c:pt>
                <c:pt idx="2">
                  <c:v>4219</c:v>
                </c:pt>
                <c:pt idx="3">
                  <c:v>4891</c:v>
                </c:pt>
                <c:pt idx="4">
                  <c:v>4536</c:v>
                </c:pt>
              </c:numCache>
            </c:numRef>
          </c:val>
        </c:ser>
        <c:ser>
          <c:idx val="1"/>
          <c:order val="1"/>
          <c:tx>
            <c:strRef>
              <c:f>Лист1!$A$3</c:f>
              <c:strCache>
                <c:ptCount val="1"/>
                <c:pt idx="0">
                  <c:v>Окончено дел</c:v>
                </c:pt>
              </c:strCache>
            </c:strRef>
          </c:tx>
          <c:spPr>
            <a:gradFill>
              <a:gsLst>
                <a:gs pos="34000">
                  <a:srgbClr val="008000"/>
                </a:gs>
                <a:gs pos="91000">
                  <a:srgbClr val="CCFFCC"/>
                </a:gs>
              </a:gsLst>
              <a:lin ang="0" scaled="1"/>
            </a:gradFill>
            <a:ln w="12700">
              <a:noFill/>
            </a:ln>
          </c:spPr>
          <c:invertIfNegative val="0"/>
          <c:dLbls>
            <c:txPr>
              <a:bodyPr/>
              <a:lstStyle/>
              <a:p>
                <a:pPr>
                  <a:defRPr b="1" i="0" baseline="0"/>
                </a:pPr>
                <a:endParaRPr lang="ru-RU"/>
              </a:p>
            </c:txPr>
            <c:dLblPos val="outEnd"/>
            <c:showLegendKey val="0"/>
            <c:showVal val="1"/>
            <c:showCatName val="0"/>
            <c:showSerName val="0"/>
            <c:showPercent val="0"/>
            <c:showBubbleSize val="0"/>
            <c:showLeaderLines val="0"/>
          </c:dLbls>
          <c:cat>
            <c:numRef>
              <c:f>Лист1!$B$1:$F$1</c:f>
              <c:numCache>
                <c:formatCode>General</c:formatCode>
                <c:ptCount val="5"/>
                <c:pt idx="0">
                  <c:v>2013</c:v>
                </c:pt>
                <c:pt idx="1">
                  <c:v>2014</c:v>
                </c:pt>
                <c:pt idx="2">
                  <c:v>2015</c:v>
                </c:pt>
                <c:pt idx="3">
                  <c:v>2016</c:v>
                </c:pt>
                <c:pt idx="4">
                  <c:v>2017</c:v>
                </c:pt>
              </c:numCache>
            </c:numRef>
          </c:cat>
          <c:val>
            <c:numRef>
              <c:f>Лист1!$B$3:$F$3</c:f>
              <c:numCache>
                <c:formatCode>General</c:formatCode>
                <c:ptCount val="5"/>
                <c:pt idx="0">
                  <c:v>2537</c:v>
                </c:pt>
                <c:pt idx="1">
                  <c:v>3474</c:v>
                </c:pt>
                <c:pt idx="2">
                  <c:v>3932</c:v>
                </c:pt>
                <c:pt idx="3">
                  <c:v>4612</c:v>
                </c:pt>
                <c:pt idx="4">
                  <c:v>4210</c:v>
                </c:pt>
              </c:numCache>
            </c:numRef>
          </c:val>
        </c:ser>
        <c:dLbls>
          <c:dLblPos val="outEnd"/>
          <c:showLegendKey val="0"/>
          <c:showVal val="1"/>
          <c:showCatName val="0"/>
          <c:showSerName val="0"/>
          <c:showPercent val="0"/>
          <c:showBubbleSize val="0"/>
        </c:dLbls>
        <c:gapWidth val="108"/>
        <c:axId val="158570368"/>
        <c:axId val="158571904"/>
      </c:barChart>
      <c:catAx>
        <c:axId val="158570368"/>
        <c:scaling>
          <c:orientation val="minMax"/>
        </c:scaling>
        <c:delete val="0"/>
        <c:axPos val="b"/>
        <c:numFmt formatCode="General" sourceLinked="1"/>
        <c:majorTickMark val="out"/>
        <c:minorTickMark val="none"/>
        <c:tickLblPos val="nextTo"/>
        <c:spPr>
          <a:ln>
            <a:solidFill>
              <a:schemeClr val="tx1"/>
            </a:solidFill>
          </a:ln>
        </c:spPr>
        <c:txPr>
          <a:bodyPr/>
          <a:lstStyle/>
          <a:p>
            <a:pPr>
              <a:defRPr b="1" i="0" baseline="0"/>
            </a:pPr>
            <a:endParaRPr lang="ru-RU"/>
          </a:p>
        </c:txPr>
        <c:crossAx val="158571904"/>
        <c:crosses val="autoZero"/>
        <c:auto val="1"/>
        <c:lblAlgn val="ctr"/>
        <c:lblOffset val="100"/>
        <c:noMultiLvlLbl val="0"/>
      </c:catAx>
      <c:valAx>
        <c:axId val="158571904"/>
        <c:scaling>
          <c:orientation val="minMax"/>
        </c:scaling>
        <c:delete val="0"/>
        <c:axPos val="l"/>
        <c:numFmt formatCode="General" sourceLinked="1"/>
        <c:majorTickMark val="out"/>
        <c:minorTickMark val="none"/>
        <c:tickLblPos val="nextTo"/>
        <c:spPr>
          <a:ln>
            <a:solidFill>
              <a:schemeClr val="tx1"/>
            </a:solidFill>
          </a:ln>
        </c:spPr>
        <c:txPr>
          <a:bodyPr/>
          <a:lstStyle/>
          <a:p>
            <a:pPr>
              <a:defRPr sz="900" b="1" i="0" baseline="0"/>
            </a:pPr>
            <a:endParaRPr lang="ru-RU"/>
          </a:p>
        </c:txPr>
        <c:crossAx val="158570368"/>
        <c:crosses val="autoZero"/>
        <c:crossBetween val="between"/>
      </c:valAx>
      <c:spPr>
        <a:gradFill flip="none" rotWithShape="1">
          <a:gsLst>
            <a:gs pos="0">
              <a:srgbClr val="1F497D">
                <a:lumMod val="40000"/>
                <a:lumOff val="60000"/>
              </a:srgbClr>
            </a:gs>
            <a:gs pos="50000">
              <a:srgbClr val="4F81BD">
                <a:tint val="44500"/>
                <a:satMod val="160000"/>
              </a:srgbClr>
            </a:gs>
            <a:gs pos="100000">
              <a:srgbClr val="4F81BD">
                <a:tint val="23500"/>
                <a:satMod val="160000"/>
              </a:srgbClr>
            </a:gs>
          </a:gsLst>
          <a:lin ang="18900000" scaled="1"/>
          <a:tileRect/>
        </a:gradFill>
        <a:ln>
          <a:noFill/>
        </a:ln>
      </c:spPr>
    </c:plotArea>
    <c:legend>
      <c:legendPos val="b"/>
      <c:layout>
        <c:manualLayout>
          <c:xMode val="edge"/>
          <c:yMode val="edge"/>
          <c:x val="9.3927248498438115E-2"/>
          <c:y val="0.87662441912998579"/>
          <c:w val="0.83337341555935596"/>
          <c:h val="0.1233755808700142"/>
        </c:manualLayout>
      </c:layout>
      <c:overlay val="0"/>
      <c:txPr>
        <a:bodyPr/>
        <a:lstStyle/>
        <a:p>
          <a:pPr>
            <a:defRPr b="1" i="0" baseline="0"/>
          </a:pPr>
          <a:endParaRPr lang="ru-RU"/>
        </a:p>
      </c:txPr>
    </c:legend>
    <c:plotVisOnly val="1"/>
    <c:dispBlanksAs val="gap"/>
    <c:showDLblsOverMax val="0"/>
  </c:chart>
  <c:spPr>
    <a:gradFill flip="none" rotWithShape="1">
      <a:gsLst>
        <a:gs pos="0">
          <a:srgbClr val="1F497D">
            <a:lumMod val="40000"/>
            <a:lumOff val="60000"/>
          </a:srgbClr>
        </a:gs>
        <a:gs pos="50000">
          <a:srgbClr val="4F81BD">
            <a:tint val="44500"/>
            <a:satMod val="160000"/>
          </a:srgbClr>
        </a:gs>
        <a:gs pos="100000">
          <a:srgbClr val="4F81BD">
            <a:tint val="23500"/>
            <a:satMod val="160000"/>
          </a:srgbClr>
        </a:gs>
      </a:gsLst>
      <a:lin ang="18900000" scaled="1"/>
      <a:tileRect/>
    </a:gra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50" baseline="0">
                <a:latin typeface="Times New Roman" panose="02020603050405020304" pitchFamily="18" charset="0"/>
                <a:cs typeface="Times New Roman" panose="02020603050405020304" pitchFamily="18" charset="0"/>
              </a:rPr>
              <a:t>Кол-во поступивших и оконченных дел об административных правонарушениях</a:t>
            </a:r>
          </a:p>
        </c:rich>
      </c:tx>
      <c:layout>
        <c:manualLayout>
          <c:xMode val="edge"/>
          <c:yMode val="edge"/>
          <c:x val="0.14786221633800201"/>
          <c:y val="1.5549076773566569E-2"/>
        </c:manualLayout>
      </c:layout>
      <c:overlay val="1"/>
    </c:title>
    <c:autoTitleDeleted val="0"/>
    <c:plotArea>
      <c:layout>
        <c:manualLayout>
          <c:layoutTarget val="inner"/>
          <c:xMode val="edge"/>
          <c:yMode val="edge"/>
          <c:x val="9.1396247338653064E-2"/>
          <c:y val="0.15265564235902948"/>
          <c:w val="0.88072036152203792"/>
          <c:h val="0.64784666646669165"/>
        </c:manualLayout>
      </c:layout>
      <c:barChart>
        <c:barDir val="col"/>
        <c:grouping val="clustered"/>
        <c:varyColors val="0"/>
        <c:ser>
          <c:idx val="0"/>
          <c:order val="0"/>
          <c:tx>
            <c:strRef>
              <c:f>Лист1!$A$24</c:f>
              <c:strCache>
                <c:ptCount val="1"/>
                <c:pt idx="0">
                  <c:v>Всего поступило жалоб и протестов</c:v>
                </c:pt>
              </c:strCache>
            </c:strRef>
          </c:tx>
          <c:spPr>
            <a:gradFill flip="none" rotWithShape="1">
              <a:gsLst>
                <a:gs pos="9000">
                  <a:srgbClr val="7D2570"/>
                </a:gs>
                <a:gs pos="97000">
                  <a:srgbClr val="8064A2">
                    <a:lumMod val="20000"/>
                    <a:lumOff val="80000"/>
                  </a:srgbClr>
                </a:gs>
              </a:gsLst>
              <a:lin ang="0" scaled="1"/>
              <a:tileRect/>
            </a:gradFill>
            <a:ln w="12700">
              <a:noFill/>
            </a:ln>
          </c:spPr>
          <c:invertIfNegative val="0"/>
          <c:dLbls>
            <c:txPr>
              <a:bodyPr/>
              <a:lstStyle/>
              <a:p>
                <a:pPr>
                  <a:defRPr b="1" i="0" baseline="0"/>
                </a:pPr>
                <a:endParaRPr lang="ru-RU"/>
              </a:p>
            </c:txPr>
            <c:dLblPos val="outEnd"/>
            <c:showLegendKey val="0"/>
            <c:showVal val="1"/>
            <c:showCatName val="0"/>
            <c:showSerName val="0"/>
            <c:showPercent val="0"/>
            <c:showBubbleSize val="0"/>
            <c:showLeaderLines val="0"/>
          </c:dLbls>
          <c:cat>
            <c:numRef>
              <c:f>Лист1!$B$23:$F$23</c:f>
              <c:numCache>
                <c:formatCode>General</c:formatCode>
                <c:ptCount val="5"/>
                <c:pt idx="0">
                  <c:v>2013</c:v>
                </c:pt>
                <c:pt idx="1">
                  <c:v>2014</c:v>
                </c:pt>
                <c:pt idx="2">
                  <c:v>2015</c:v>
                </c:pt>
                <c:pt idx="3">
                  <c:v>2016</c:v>
                </c:pt>
                <c:pt idx="4">
                  <c:v>2017</c:v>
                </c:pt>
              </c:numCache>
            </c:numRef>
          </c:cat>
          <c:val>
            <c:numRef>
              <c:f>Лист1!$B$24:$F$24</c:f>
              <c:numCache>
                <c:formatCode>General</c:formatCode>
                <c:ptCount val="5"/>
                <c:pt idx="0">
                  <c:v>2220</c:v>
                </c:pt>
                <c:pt idx="1">
                  <c:v>2134</c:v>
                </c:pt>
                <c:pt idx="2">
                  <c:v>2454</c:v>
                </c:pt>
                <c:pt idx="3">
                  <c:v>2486</c:v>
                </c:pt>
                <c:pt idx="4">
                  <c:v>2712</c:v>
                </c:pt>
              </c:numCache>
            </c:numRef>
          </c:val>
        </c:ser>
        <c:ser>
          <c:idx val="1"/>
          <c:order val="1"/>
          <c:tx>
            <c:strRef>
              <c:f>Лист1!$A$25</c:f>
              <c:strCache>
                <c:ptCount val="1"/>
                <c:pt idx="0">
                  <c:v>Окончено дел</c:v>
                </c:pt>
              </c:strCache>
            </c:strRef>
          </c:tx>
          <c:spPr>
            <a:gradFill>
              <a:gsLst>
                <a:gs pos="23000">
                  <a:srgbClr val="00B050"/>
                </a:gs>
                <a:gs pos="91000">
                  <a:srgbClr val="BACC96"/>
                </a:gs>
                <a:gs pos="99000">
                  <a:srgbClr val="9BBB59">
                    <a:lumMod val="75000"/>
                  </a:srgbClr>
                </a:gs>
                <a:gs pos="64000">
                  <a:srgbClr val="9BBB59">
                    <a:lumMod val="40000"/>
                    <a:lumOff val="60000"/>
                  </a:srgbClr>
                </a:gs>
              </a:gsLst>
              <a:lin ang="0" scaled="1"/>
            </a:gradFill>
            <a:ln w="12700">
              <a:noFill/>
            </a:ln>
          </c:spPr>
          <c:invertIfNegative val="0"/>
          <c:dLbls>
            <c:txPr>
              <a:bodyPr/>
              <a:lstStyle/>
              <a:p>
                <a:pPr>
                  <a:defRPr b="1" i="0" baseline="0"/>
                </a:pPr>
                <a:endParaRPr lang="ru-RU"/>
              </a:p>
            </c:txPr>
            <c:dLblPos val="outEnd"/>
            <c:showLegendKey val="0"/>
            <c:showVal val="1"/>
            <c:showCatName val="0"/>
            <c:showSerName val="0"/>
            <c:showPercent val="0"/>
            <c:showBubbleSize val="0"/>
            <c:showLeaderLines val="0"/>
          </c:dLbls>
          <c:cat>
            <c:numRef>
              <c:f>Лист1!$B$23:$F$23</c:f>
              <c:numCache>
                <c:formatCode>General</c:formatCode>
                <c:ptCount val="5"/>
                <c:pt idx="0">
                  <c:v>2013</c:v>
                </c:pt>
                <c:pt idx="1">
                  <c:v>2014</c:v>
                </c:pt>
                <c:pt idx="2">
                  <c:v>2015</c:v>
                </c:pt>
                <c:pt idx="3">
                  <c:v>2016</c:v>
                </c:pt>
                <c:pt idx="4">
                  <c:v>2017</c:v>
                </c:pt>
              </c:numCache>
            </c:numRef>
          </c:cat>
          <c:val>
            <c:numRef>
              <c:f>Лист1!$B$25:$F$25</c:f>
              <c:numCache>
                <c:formatCode>General</c:formatCode>
                <c:ptCount val="5"/>
                <c:pt idx="0">
                  <c:v>2104</c:v>
                </c:pt>
                <c:pt idx="1">
                  <c:v>2195</c:v>
                </c:pt>
                <c:pt idx="2">
                  <c:v>2412</c:v>
                </c:pt>
                <c:pt idx="3">
                  <c:v>2461</c:v>
                </c:pt>
                <c:pt idx="4">
                  <c:v>2513</c:v>
                </c:pt>
              </c:numCache>
            </c:numRef>
          </c:val>
        </c:ser>
        <c:dLbls>
          <c:dLblPos val="outEnd"/>
          <c:showLegendKey val="0"/>
          <c:showVal val="1"/>
          <c:showCatName val="0"/>
          <c:showSerName val="0"/>
          <c:showPercent val="0"/>
          <c:showBubbleSize val="0"/>
        </c:dLbls>
        <c:gapWidth val="110"/>
        <c:axId val="158586752"/>
        <c:axId val="158588288"/>
      </c:barChart>
      <c:catAx>
        <c:axId val="158586752"/>
        <c:scaling>
          <c:orientation val="minMax"/>
        </c:scaling>
        <c:delete val="0"/>
        <c:axPos val="b"/>
        <c:numFmt formatCode="General" sourceLinked="1"/>
        <c:majorTickMark val="out"/>
        <c:minorTickMark val="none"/>
        <c:tickLblPos val="nextTo"/>
        <c:spPr>
          <a:ln>
            <a:solidFill>
              <a:schemeClr val="tx1"/>
            </a:solidFill>
          </a:ln>
        </c:spPr>
        <c:txPr>
          <a:bodyPr/>
          <a:lstStyle/>
          <a:p>
            <a:pPr>
              <a:defRPr b="1" i="0" baseline="0"/>
            </a:pPr>
            <a:endParaRPr lang="ru-RU"/>
          </a:p>
        </c:txPr>
        <c:crossAx val="158588288"/>
        <c:crosses val="autoZero"/>
        <c:auto val="1"/>
        <c:lblAlgn val="ctr"/>
        <c:lblOffset val="100"/>
        <c:noMultiLvlLbl val="0"/>
      </c:catAx>
      <c:valAx>
        <c:axId val="158588288"/>
        <c:scaling>
          <c:orientation val="minMax"/>
        </c:scaling>
        <c:delete val="0"/>
        <c:axPos val="l"/>
        <c:numFmt formatCode="General" sourceLinked="1"/>
        <c:majorTickMark val="out"/>
        <c:minorTickMark val="none"/>
        <c:tickLblPos val="nextTo"/>
        <c:spPr>
          <a:ln>
            <a:solidFill>
              <a:schemeClr val="tx1"/>
            </a:solidFill>
          </a:ln>
        </c:spPr>
        <c:txPr>
          <a:bodyPr/>
          <a:lstStyle/>
          <a:p>
            <a:pPr>
              <a:defRPr b="1" i="0" baseline="0"/>
            </a:pPr>
            <a:endParaRPr lang="ru-RU"/>
          </a:p>
        </c:txPr>
        <c:crossAx val="158586752"/>
        <c:crosses val="autoZero"/>
        <c:crossBetween val="between"/>
        <c:majorUnit val="500"/>
      </c:valAx>
      <c:spPr>
        <a:gradFill flip="none" rotWithShape="1">
          <a:gsLst>
            <a:gs pos="0">
              <a:srgbClr val="EEECE1">
                <a:lumMod val="50000"/>
              </a:srgbClr>
            </a:gs>
            <a:gs pos="58000">
              <a:srgbClr val="EEECE1">
                <a:lumMod val="90000"/>
              </a:srgbClr>
            </a:gs>
          </a:gsLst>
          <a:lin ang="16200000" scaled="1"/>
          <a:tileRect/>
        </a:gradFill>
        <a:ln>
          <a:noFill/>
        </a:ln>
      </c:spPr>
    </c:plotArea>
    <c:legend>
      <c:legendPos val="b"/>
      <c:overlay val="0"/>
      <c:txPr>
        <a:bodyPr/>
        <a:lstStyle/>
        <a:p>
          <a:pPr>
            <a:defRPr b="1" i="0" baseline="0"/>
          </a:pPr>
          <a:endParaRPr lang="ru-RU"/>
        </a:p>
      </c:txPr>
    </c:legend>
    <c:plotVisOnly val="1"/>
    <c:dispBlanksAs val="gap"/>
    <c:showDLblsOverMax val="0"/>
  </c:chart>
  <c:spPr>
    <a:gradFill flip="none" rotWithShape="1">
      <a:gsLst>
        <a:gs pos="0">
          <a:srgbClr val="EEECE1">
            <a:lumMod val="50000"/>
          </a:srgbClr>
        </a:gs>
        <a:gs pos="49000">
          <a:srgbClr val="EEECE1">
            <a:lumMod val="90000"/>
          </a:srgbClr>
        </a:gs>
      </a:gsLst>
      <a:lin ang="16200000" scaled="1"/>
      <a:tileRect/>
    </a:grad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Cyr"/>
                <a:ea typeface="Arial Cyr"/>
                <a:cs typeface="Arial Cyr"/>
              </a:defRPr>
            </a:pPr>
            <a:r>
              <a:rPr lang="ru-RU" sz="1050">
                <a:latin typeface="Times New Roman" panose="02020603050405020304" pitchFamily="18" charset="0"/>
                <a:cs typeface="Times New Roman" panose="02020603050405020304" pitchFamily="18" charset="0"/>
              </a:rPr>
              <a:t>Нагрузка в уголовном, гражданском, административном производстве и при рассмотрении дел об адм. правонарушениях в первой инстанции за период 2013-2017 г.</a:t>
            </a:r>
          </a:p>
        </c:rich>
      </c:tx>
      <c:layout>
        <c:manualLayout>
          <c:xMode val="edge"/>
          <c:yMode val="edge"/>
          <c:x val="0.17553039864909856"/>
          <c:y val="3.4213753754821281E-2"/>
        </c:manualLayout>
      </c:layout>
      <c:overlay val="0"/>
      <c:spPr>
        <a:noFill/>
        <a:ln w="25400">
          <a:noFill/>
        </a:ln>
      </c:spPr>
    </c:title>
    <c:autoTitleDeleted val="0"/>
    <c:plotArea>
      <c:layout>
        <c:manualLayout>
          <c:layoutTarget val="inner"/>
          <c:xMode val="edge"/>
          <c:yMode val="edge"/>
          <c:x val="5.1308640379402699E-2"/>
          <c:y val="0.3021524828892489"/>
          <c:w val="0.74708964358283481"/>
          <c:h val="0.56607796550926037"/>
        </c:manualLayout>
      </c:layout>
      <c:barChart>
        <c:barDir val="col"/>
        <c:grouping val="clustered"/>
        <c:varyColors val="0"/>
        <c:ser>
          <c:idx val="0"/>
          <c:order val="0"/>
          <c:tx>
            <c:strRef>
              <c:f>'Нагрузка-2016'!$K$20</c:f>
              <c:strCache>
                <c:ptCount val="1"/>
                <c:pt idx="0">
                  <c:v>Уголовное </c:v>
                </c:pt>
              </c:strCache>
            </c:strRef>
          </c:tx>
          <c:spPr>
            <a:gradFill rotWithShape="0">
              <a:gsLst>
                <a:gs pos="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FF99CC" mc:Ignorable="a14" a14:legacySpreadsheetColorIndex="45"/>
                </a:gs>
              </a:gsLst>
              <a:lin ang="0" scaled="1"/>
            </a:gradFill>
            <a:ln w="12700">
              <a:solidFill>
                <a:srgbClr val="000000"/>
              </a:solidFill>
              <a:prstDash val="solid"/>
            </a:ln>
          </c:spPr>
          <c:invertIfNegative val="0"/>
          <c:dLbls>
            <c:dLbl>
              <c:idx val="0"/>
              <c:layout>
                <c:manualLayout>
                  <c:x val="1.6728167281672777E-3"/>
                  <c:y val="-6.9064529869339352E-3"/>
                </c:manualLayout>
              </c:layout>
              <c:dLblPos val="outEnd"/>
              <c:showLegendKey val="0"/>
              <c:showVal val="1"/>
              <c:showCatName val="0"/>
              <c:showSerName val="0"/>
              <c:showPercent val="0"/>
              <c:showBubbleSize val="0"/>
            </c:dLbl>
            <c:dLbl>
              <c:idx val="1"/>
              <c:layout>
                <c:manualLayout>
                  <c:x val="-1.7220172201718345E-4"/>
                  <c:y val="1.2818587667125916E-2"/>
                </c:manualLayout>
              </c:layout>
              <c:dLblPos val="outEnd"/>
              <c:showLegendKey val="0"/>
              <c:showVal val="1"/>
              <c:showCatName val="0"/>
              <c:showSerName val="0"/>
              <c:showPercent val="0"/>
              <c:showBubbleSize val="0"/>
            </c:dLbl>
            <c:dLbl>
              <c:idx val="2"/>
              <c:layout>
                <c:manualLayout>
                  <c:x val="-1.7220172201719554E-4"/>
                  <c:y val="8.3083786451262746E-4"/>
                </c:manualLayout>
              </c:layout>
              <c:dLblPos val="outEnd"/>
              <c:showLegendKey val="0"/>
              <c:showVal val="1"/>
              <c:showCatName val="0"/>
              <c:showSerName val="0"/>
              <c:showPercent val="0"/>
              <c:showBubbleSize val="0"/>
            </c:dLbl>
            <c:dLbl>
              <c:idx val="3"/>
              <c:layout>
                <c:manualLayout>
                  <c:x val="1.6728167281672692E-3"/>
                  <c:y val="4.7971843893957313E-3"/>
                </c:manualLayout>
              </c:layout>
              <c:dLblPos val="outEnd"/>
              <c:showLegendKey val="0"/>
              <c:showVal val="1"/>
              <c:showCatName val="0"/>
              <c:showSerName val="0"/>
              <c:showPercent val="0"/>
              <c:showBubbleSize val="0"/>
            </c:dLbl>
            <c:dLbl>
              <c:idx val="4"/>
              <c:layout>
                <c:manualLayout>
                  <c:x val="-3.8622386223861336E-3"/>
                  <c:y val="-1.8612688782754613E-2"/>
                </c:manualLayout>
              </c:layout>
              <c:dLblPos val="outEnd"/>
              <c:showLegendKey val="0"/>
              <c:showVal val="1"/>
              <c:showCatName val="0"/>
              <c:showSerName val="0"/>
              <c:showPercent val="0"/>
              <c:showBubbleSize val="0"/>
            </c:dLbl>
            <c:spPr>
              <a:noFill/>
              <a:ln w="25400">
                <a:noFill/>
              </a:ln>
            </c:spPr>
            <c:txPr>
              <a:bodyPr/>
              <a:lstStyle/>
              <a:p>
                <a:pPr>
                  <a:defRPr sz="1000" b="1" i="0" u="none" strike="noStrike" baseline="0">
                    <a:solidFill>
                      <a:srgbClr val="800080"/>
                    </a:solidFill>
                    <a:latin typeface="Calibri" panose="020F0502020204030204" pitchFamily="34" charset="0"/>
                    <a:ea typeface="Arial Cyr"/>
                    <a:cs typeface="Arial Cyr"/>
                  </a:defRPr>
                </a:pPr>
                <a:endParaRPr lang="ru-RU"/>
              </a:p>
            </c:txPr>
            <c:dLblPos val="outEnd"/>
            <c:showLegendKey val="0"/>
            <c:showVal val="1"/>
            <c:showCatName val="0"/>
            <c:showSerName val="0"/>
            <c:showPercent val="0"/>
            <c:showBubbleSize val="0"/>
            <c:showLeaderLines val="0"/>
          </c:dLbls>
          <c:cat>
            <c:numRef>
              <c:f>'Нагрузка-2016'!$L$19:$P$19</c:f>
              <c:numCache>
                <c:formatCode>General</c:formatCode>
                <c:ptCount val="5"/>
                <c:pt idx="0">
                  <c:v>2013</c:v>
                </c:pt>
                <c:pt idx="1">
                  <c:v>2014</c:v>
                </c:pt>
                <c:pt idx="2">
                  <c:v>2015</c:v>
                </c:pt>
                <c:pt idx="3">
                  <c:v>2016</c:v>
                </c:pt>
                <c:pt idx="4">
                  <c:v>2017</c:v>
                </c:pt>
              </c:numCache>
            </c:numRef>
          </c:cat>
          <c:val>
            <c:numRef>
              <c:f>'Нагрузка-2016'!$L$20:$P$20</c:f>
              <c:numCache>
                <c:formatCode>General</c:formatCode>
                <c:ptCount val="5"/>
                <c:pt idx="0">
                  <c:v>2.8</c:v>
                </c:pt>
                <c:pt idx="1">
                  <c:v>2.6</c:v>
                </c:pt>
                <c:pt idx="2">
                  <c:v>2.7</c:v>
                </c:pt>
                <c:pt idx="3">
                  <c:v>2.7</c:v>
                </c:pt>
                <c:pt idx="4">
                  <c:v>2.9</c:v>
                </c:pt>
              </c:numCache>
            </c:numRef>
          </c:val>
        </c:ser>
        <c:ser>
          <c:idx val="1"/>
          <c:order val="1"/>
          <c:tx>
            <c:strRef>
              <c:f>'Нагрузка-2016'!$K$21</c:f>
              <c:strCache>
                <c:ptCount val="1"/>
                <c:pt idx="0">
                  <c:v>Гражданское</c:v>
                </c:pt>
              </c:strCache>
            </c:strRef>
          </c:tx>
          <c:spPr>
            <a:gradFill>
              <a:gsLst>
                <a:gs pos="85000">
                  <a:srgbClr xmlns:mc="http://schemas.openxmlformats.org/markup-compatibility/2006" xmlns:a14="http://schemas.microsoft.com/office/drawing/2010/main" val="FFFF00" mc:Ignorable="a14" a14:legacySpreadsheetColorIndex="13"/>
                </a:gs>
                <a:gs pos="37000">
                  <a:srgbClr xmlns:mc="http://schemas.openxmlformats.org/markup-compatibility/2006" xmlns:a14="http://schemas.microsoft.com/office/drawing/2010/main" val="FF9900" mc:Ignorable="a14" a14:legacySpreadsheetColorIndex="52"/>
                </a:gs>
              </a:gsLst>
              <a:lin ang="0" scaled="1"/>
            </a:gradFill>
          </c:spPr>
          <c:invertIfNegative val="0"/>
          <c:dLbls>
            <c:dLbl>
              <c:idx val="0"/>
              <c:layout>
                <c:manualLayout>
                  <c:x val="7.4908966032190896E-3"/>
                  <c:y val="9.129178586894021E-4"/>
                </c:manualLayout>
              </c:layout>
              <c:showLegendKey val="0"/>
              <c:showVal val="1"/>
              <c:showCatName val="0"/>
              <c:showSerName val="0"/>
              <c:showPercent val="0"/>
              <c:showBubbleSize val="0"/>
            </c:dLbl>
            <c:dLbl>
              <c:idx val="1"/>
              <c:layout>
                <c:manualLayout>
                  <c:x val="1.1860975961944964E-2"/>
                  <c:y val="1.152328082517552E-2"/>
                </c:manualLayout>
              </c:layout>
              <c:showLegendKey val="0"/>
              <c:showVal val="1"/>
              <c:showCatName val="0"/>
              <c:showSerName val="0"/>
              <c:showPercent val="0"/>
              <c:showBubbleSize val="0"/>
            </c:dLbl>
            <c:dLbl>
              <c:idx val="2"/>
              <c:layout>
                <c:manualLayout>
                  <c:x val="1.1099522740348753E-2"/>
                  <c:y val="2.983097531714312E-2"/>
                </c:manualLayout>
              </c:layout>
              <c:showLegendKey val="0"/>
              <c:showVal val="1"/>
              <c:showCatName val="0"/>
              <c:showSerName val="0"/>
              <c:showPercent val="0"/>
              <c:showBubbleSize val="0"/>
            </c:dLbl>
            <c:dLbl>
              <c:idx val="3"/>
              <c:layout>
                <c:manualLayout>
                  <c:x val="1.2241796094386533E-2"/>
                  <c:y val="8.1218454286667574E-3"/>
                </c:manualLayout>
              </c:layout>
              <c:showLegendKey val="0"/>
              <c:showVal val="1"/>
              <c:showCatName val="0"/>
              <c:showSerName val="0"/>
              <c:showPercent val="0"/>
              <c:showBubbleSize val="0"/>
            </c:dLbl>
            <c:dLbl>
              <c:idx val="4"/>
              <c:layout>
                <c:manualLayout>
                  <c:x val="-1.1583590767244082E-3"/>
                  <c:y val="7.0154826893452692E-3"/>
                </c:manualLayout>
              </c:layout>
              <c:showLegendKey val="0"/>
              <c:showVal val="1"/>
              <c:showCatName val="0"/>
              <c:showSerName val="0"/>
              <c:showPercent val="0"/>
              <c:showBubbleSize val="0"/>
            </c:dLbl>
            <c:txPr>
              <a:bodyPr/>
              <a:lstStyle/>
              <a:p>
                <a:pPr>
                  <a:defRPr sz="1000" b="1" i="0" baseline="0">
                    <a:solidFill>
                      <a:srgbClr val="800000"/>
                    </a:solidFill>
                    <a:latin typeface="Calibri" panose="020F0502020204030204" pitchFamily="34" charset="0"/>
                  </a:defRPr>
                </a:pPr>
                <a:endParaRPr lang="ru-RU"/>
              </a:p>
            </c:txPr>
            <c:showLegendKey val="0"/>
            <c:showVal val="1"/>
            <c:showCatName val="0"/>
            <c:showSerName val="0"/>
            <c:showPercent val="0"/>
            <c:showBubbleSize val="0"/>
            <c:showLeaderLines val="0"/>
          </c:dLbls>
          <c:cat>
            <c:numRef>
              <c:f>'Нагрузка-2016'!$L$19:$P$19</c:f>
              <c:numCache>
                <c:formatCode>General</c:formatCode>
                <c:ptCount val="5"/>
                <c:pt idx="0">
                  <c:v>2013</c:v>
                </c:pt>
                <c:pt idx="1">
                  <c:v>2014</c:v>
                </c:pt>
                <c:pt idx="2">
                  <c:v>2015</c:v>
                </c:pt>
                <c:pt idx="3">
                  <c:v>2016</c:v>
                </c:pt>
                <c:pt idx="4">
                  <c:v>2017</c:v>
                </c:pt>
              </c:numCache>
            </c:numRef>
          </c:cat>
          <c:val>
            <c:numRef>
              <c:f>'Нагрузка-2016'!$L$21:$P$21</c:f>
              <c:numCache>
                <c:formatCode>General</c:formatCode>
                <c:ptCount val="5"/>
                <c:pt idx="0">
                  <c:v>33.200000000000003</c:v>
                </c:pt>
                <c:pt idx="1">
                  <c:v>35.200000000000003</c:v>
                </c:pt>
                <c:pt idx="2">
                  <c:v>36.6</c:v>
                </c:pt>
                <c:pt idx="3">
                  <c:v>28.9</c:v>
                </c:pt>
                <c:pt idx="4">
                  <c:v>23.7</c:v>
                </c:pt>
              </c:numCache>
            </c:numRef>
          </c:val>
        </c:ser>
        <c:ser>
          <c:idx val="2"/>
          <c:order val="2"/>
          <c:tx>
            <c:strRef>
              <c:f>'Нагрузка-2016'!$K$22</c:f>
              <c:strCache>
                <c:ptCount val="1"/>
                <c:pt idx="0">
                  <c:v>Адм.- КоАП РФ</c:v>
                </c:pt>
              </c:strCache>
            </c:strRef>
          </c:tx>
          <c:spPr>
            <a:gradFill>
              <a:gsLst>
                <a:gs pos="100000">
                  <a:srgbClr val="FFFFCC"/>
                </a:gs>
                <a:gs pos="52000">
                  <a:srgbClr val="3A0AE8"/>
                </a:gs>
              </a:gsLst>
              <a:lin ang="0" scaled="1"/>
            </a:gradFill>
          </c:spPr>
          <c:invertIfNegative val="0"/>
          <c:dLbls>
            <c:txPr>
              <a:bodyPr rot="-5400000" vert="horz" anchor="t" anchorCtr="1"/>
              <a:lstStyle/>
              <a:p>
                <a:pPr>
                  <a:defRPr sz="1000" b="1" i="0" baseline="0">
                    <a:solidFill>
                      <a:srgbClr val="3A0AE8"/>
                    </a:solidFill>
                    <a:latin typeface="Calibri" panose="020F0502020204030204" pitchFamily="34" charset="0"/>
                  </a:defRPr>
                </a:pPr>
                <a:endParaRPr lang="ru-RU"/>
              </a:p>
            </c:txPr>
            <c:showLegendKey val="0"/>
            <c:showVal val="1"/>
            <c:showCatName val="0"/>
            <c:showSerName val="0"/>
            <c:showPercent val="0"/>
            <c:showBubbleSize val="0"/>
            <c:showLeaderLines val="0"/>
          </c:dLbls>
          <c:cat>
            <c:numRef>
              <c:f>'Нагрузка-2016'!$L$19:$P$19</c:f>
              <c:numCache>
                <c:formatCode>General</c:formatCode>
                <c:ptCount val="5"/>
                <c:pt idx="0">
                  <c:v>2013</c:v>
                </c:pt>
                <c:pt idx="1">
                  <c:v>2014</c:v>
                </c:pt>
                <c:pt idx="2">
                  <c:v>2015</c:v>
                </c:pt>
                <c:pt idx="3">
                  <c:v>2016</c:v>
                </c:pt>
                <c:pt idx="4">
                  <c:v>2017</c:v>
                </c:pt>
              </c:numCache>
            </c:numRef>
          </c:cat>
          <c:val>
            <c:numRef>
              <c:f>'Нагрузка-2016'!$L$22:$P$22</c:f>
              <c:numCache>
                <c:formatCode>0.0</c:formatCode>
                <c:ptCount val="5"/>
                <c:pt idx="0" formatCode="General">
                  <c:v>4.8</c:v>
                </c:pt>
                <c:pt idx="1">
                  <c:v>5</c:v>
                </c:pt>
                <c:pt idx="2" formatCode="General">
                  <c:v>4.7</c:v>
                </c:pt>
                <c:pt idx="3" formatCode="General">
                  <c:v>5.0999999999999996</c:v>
                </c:pt>
                <c:pt idx="4" formatCode="General">
                  <c:v>5.5</c:v>
                </c:pt>
              </c:numCache>
            </c:numRef>
          </c:val>
        </c:ser>
        <c:ser>
          <c:idx val="3"/>
          <c:order val="3"/>
          <c:tx>
            <c:strRef>
              <c:f>'Нагрузка-2016'!$K$23</c:f>
              <c:strCache>
                <c:ptCount val="1"/>
                <c:pt idx="0">
                  <c:v>Административное </c:v>
                </c:pt>
              </c:strCache>
            </c:strRef>
          </c:tx>
          <c:spPr>
            <a:gradFill>
              <a:gsLst>
                <a:gs pos="100000">
                  <a:srgbClr val="FFFFCC"/>
                </a:gs>
                <a:gs pos="25000">
                  <a:srgbClr val="00B050"/>
                </a:gs>
              </a:gsLst>
              <a:lin ang="0" scaled="1"/>
            </a:gradFill>
          </c:spPr>
          <c:invertIfNegative val="0"/>
          <c:dLbls>
            <c:txPr>
              <a:bodyPr rot="-5400000" vert="horz"/>
              <a:lstStyle/>
              <a:p>
                <a:pPr>
                  <a:defRPr sz="1000" b="1" i="0" baseline="0">
                    <a:solidFill>
                      <a:srgbClr val="006600"/>
                    </a:solidFill>
                    <a:latin typeface="Calibri" panose="020F0502020204030204" pitchFamily="34" charset="0"/>
                  </a:defRPr>
                </a:pPr>
                <a:endParaRPr lang="ru-RU"/>
              </a:p>
            </c:txPr>
            <c:showLegendKey val="0"/>
            <c:showVal val="1"/>
            <c:showCatName val="0"/>
            <c:showSerName val="0"/>
            <c:showPercent val="0"/>
            <c:showBubbleSize val="0"/>
            <c:showLeaderLines val="0"/>
          </c:dLbls>
          <c:cat>
            <c:numRef>
              <c:f>'Нагрузка-2016'!$L$19:$P$19</c:f>
              <c:numCache>
                <c:formatCode>General</c:formatCode>
                <c:ptCount val="5"/>
                <c:pt idx="0">
                  <c:v>2013</c:v>
                </c:pt>
                <c:pt idx="1">
                  <c:v>2014</c:v>
                </c:pt>
                <c:pt idx="2">
                  <c:v>2015</c:v>
                </c:pt>
                <c:pt idx="3">
                  <c:v>2016</c:v>
                </c:pt>
                <c:pt idx="4">
                  <c:v>2017</c:v>
                </c:pt>
              </c:numCache>
            </c:numRef>
          </c:cat>
          <c:val>
            <c:numRef>
              <c:f>'Нагрузка-2016'!$L$23:$P$23</c:f>
              <c:numCache>
                <c:formatCode>General</c:formatCode>
                <c:ptCount val="5"/>
                <c:pt idx="3">
                  <c:v>6.9</c:v>
                </c:pt>
                <c:pt idx="4">
                  <c:v>2.7</c:v>
                </c:pt>
              </c:numCache>
            </c:numRef>
          </c:val>
        </c:ser>
        <c:dLbls>
          <c:showLegendKey val="0"/>
          <c:showVal val="1"/>
          <c:showCatName val="0"/>
          <c:showSerName val="0"/>
          <c:showPercent val="0"/>
          <c:showBubbleSize val="0"/>
        </c:dLbls>
        <c:gapWidth val="150"/>
        <c:axId val="168902016"/>
        <c:axId val="168907904"/>
      </c:barChart>
      <c:catAx>
        <c:axId val="1689020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panose="020F0502020204030204" pitchFamily="34" charset="0"/>
                <a:ea typeface="Arial Cyr"/>
                <a:cs typeface="Arial Cyr"/>
              </a:defRPr>
            </a:pPr>
            <a:endParaRPr lang="ru-RU"/>
          </a:p>
        </c:txPr>
        <c:crossAx val="168907904"/>
        <c:crosses val="autoZero"/>
        <c:auto val="1"/>
        <c:lblAlgn val="ctr"/>
        <c:lblOffset val="100"/>
        <c:tickLblSkip val="1"/>
        <c:tickMarkSkip val="1"/>
        <c:noMultiLvlLbl val="0"/>
      </c:catAx>
      <c:valAx>
        <c:axId val="16890790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68902016"/>
        <c:crosses val="autoZero"/>
        <c:crossBetween val="between"/>
      </c:valAx>
      <c:spPr>
        <a:gradFill flip="none" rotWithShape="1">
          <a:gsLst>
            <a:gs pos="100000">
              <a:srgbClr val="BBBEC2"/>
            </a:gs>
            <a:gs pos="51000">
              <a:srgbClr val="AEBBC8"/>
            </a:gs>
            <a:gs pos="2000">
              <a:srgbClr val="3399FF"/>
            </a:gs>
            <a:gs pos="100000">
              <a:sysClr val="window" lastClr="FFFFFF">
                <a:lumMod val="85000"/>
              </a:sysClr>
            </a:gs>
          </a:gsLst>
          <a:lin ang="2700000" scaled="1"/>
          <a:tileRect/>
        </a:gradFill>
        <a:ln w="12700">
          <a:noFill/>
          <a:prstDash val="solid"/>
        </a:ln>
      </c:spPr>
    </c:plotArea>
    <c:legend>
      <c:legendPos val="r"/>
      <c:layout>
        <c:manualLayout>
          <c:xMode val="edge"/>
          <c:yMode val="edge"/>
          <c:x val="0.8114612578621434"/>
          <c:y val="0.3048920924476522"/>
          <c:w val="0.18599160482056215"/>
          <c:h val="0.58987950441407777"/>
        </c:manualLayout>
      </c:layout>
      <c:overlay val="0"/>
      <c:spPr>
        <a:gradFill flip="none" rotWithShape="1">
          <a:gsLst>
            <a:gs pos="0">
              <a:srgbClr xmlns:mc="http://schemas.openxmlformats.org/markup-compatibility/2006" xmlns:a14="http://schemas.microsoft.com/office/drawing/2010/main" val="99CCFF" mc:Ignorable="a14" a14:legacySpreadsheetColorIndex="44"/>
            </a:gs>
            <a:gs pos="29000">
              <a:sysClr val="window" lastClr="FFFFFF">
                <a:lumMod val="85000"/>
              </a:sysClr>
            </a:gs>
          </a:gsLst>
          <a:lin ang="2700000" scaled="1"/>
          <a:tileRect/>
        </a:gradFill>
        <a:ln w="3175">
          <a:solidFill>
            <a:srgbClr val="000000"/>
          </a:solidFill>
          <a:prstDash val="solid"/>
        </a:ln>
      </c:spPr>
      <c:txPr>
        <a:bodyPr/>
        <a:lstStyle/>
        <a:p>
          <a:pPr>
            <a:defRPr sz="1000" b="1" i="0" u="none" strike="noStrike" baseline="0">
              <a:solidFill>
                <a:srgbClr val="000000"/>
              </a:solidFill>
              <a:latin typeface="Calibri" panose="020F0502020204030204" pitchFamily="34" charset="0"/>
              <a:ea typeface="Arial Cyr"/>
              <a:cs typeface="Arial Cyr"/>
            </a:defRPr>
          </a:pPr>
          <a:endParaRPr lang="ru-RU"/>
        </a:p>
      </c:txPr>
    </c:legend>
    <c:plotVisOnly val="1"/>
    <c:dispBlanksAs val="gap"/>
    <c:showDLblsOverMax val="0"/>
  </c:chart>
  <c:spPr>
    <a:gradFill flip="none" rotWithShape="1">
      <a:gsLst>
        <a:gs pos="7000">
          <a:srgbClr val="3399FF"/>
        </a:gs>
        <a:gs pos="100000">
          <a:sysClr val="window" lastClr="FFFFFF">
            <a:lumMod val="85000"/>
          </a:sysClr>
        </a:gs>
      </a:gsLst>
      <a:lin ang="2700000" scaled="0"/>
      <a:tileRect/>
    </a:gra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panose="02020603050405020304" pitchFamily="18" charset="0"/>
                <a:ea typeface="Arial Cyr"/>
                <a:cs typeface="Arial Cyr"/>
              </a:defRPr>
            </a:pPr>
            <a:r>
              <a:rPr lang="ru-RU" sz="1100" baseline="0">
                <a:latin typeface="Times New Roman" panose="02020603050405020304" pitchFamily="18" charset="0"/>
              </a:rPr>
              <a:t>Динамика изменения относительного значения показателя  </a:t>
            </a:r>
          </a:p>
          <a:p>
            <a:pPr>
              <a:defRPr sz="1100" b="1" i="0" u="none" strike="noStrike" baseline="0">
                <a:solidFill>
                  <a:srgbClr val="000000"/>
                </a:solidFill>
                <a:latin typeface="Times New Roman" panose="02020603050405020304" pitchFamily="18" charset="0"/>
                <a:ea typeface="Arial Cyr"/>
                <a:cs typeface="Arial Cyr"/>
              </a:defRPr>
            </a:pPr>
            <a:r>
              <a:rPr lang="ru-RU" sz="1100" baseline="0">
                <a:latin typeface="Times New Roman" panose="02020603050405020304" pitchFamily="18" charset="0"/>
              </a:rPr>
              <a:t> "Сроки рассмотрения гражд. дел"
за  период с 20</a:t>
            </a:r>
            <a:r>
              <a:rPr lang="en-US" sz="1100" baseline="0">
                <a:latin typeface="Times New Roman" panose="02020603050405020304" pitchFamily="18" charset="0"/>
              </a:rPr>
              <a:t>1</a:t>
            </a:r>
            <a:r>
              <a:rPr lang="ru-RU" sz="1100" baseline="0">
                <a:latin typeface="Times New Roman" panose="02020603050405020304" pitchFamily="18" charset="0"/>
              </a:rPr>
              <a:t>3 по 2017 гг.</a:t>
            </a:r>
          </a:p>
        </c:rich>
      </c:tx>
      <c:layout>
        <c:manualLayout>
          <c:xMode val="edge"/>
          <c:yMode val="edge"/>
          <c:x val="0.1482518494945432"/>
          <c:y val="3.3248123361726944E-2"/>
        </c:manualLayout>
      </c:layout>
      <c:overlay val="0"/>
      <c:spPr>
        <a:noFill/>
        <a:ln w="25400">
          <a:noFill/>
        </a:ln>
      </c:spPr>
    </c:title>
    <c:autoTitleDeleted val="0"/>
    <c:plotArea>
      <c:layout>
        <c:manualLayout>
          <c:layoutTarget val="inner"/>
          <c:xMode val="edge"/>
          <c:yMode val="edge"/>
          <c:x val="4.1958070611663172E-2"/>
          <c:y val="0.18906196508045189"/>
          <c:w val="0.91608454168797915"/>
          <c:h val="0.69998103915940268"/>
        </c:manualLayout>
      </c:layout>
      <c:lineChart>
        <c:grouping val="standard"/>
        <c:varyColors val="0"/>
        <c:ser>
          <c:idx val="0"/>
          <c:order val="0"/>
          <c:tx>
            <c:strRef>
              <c:f>'Общие сроки-2017'!$K$15</c:f>
              <c:strCache>
                <c:ptCount val="1"/>
                <c:pt idx="0">
                  <c:v>До 3 мес.</c:v>
                </c:pt>
              </c:strCache>
            </c:strRef>
          </c:tx>
          <c:spPr>
            <a:ln w="38100">
              <a:solidFill>
                <a:srgbClr val="008000"/>
              </a:solidFill>
              <a:prstDash val="solid"/>
            </a:ln>
          </c:spPr>
          <c:marker>
            <c:symbol val="diamond"/>
            <c:size val="6"/>
            <c:spPr>
              <a:solidFill>
                <a:srgbClr val="CCFFCC"/>
              </a:solidFill>
              <a:ln>
                <a:solidFill>
                  <a:srgbClr val="000080"/>
                </a:solidFill>
                <a:prstDash val="solid"/>
              </a:ln>
            </c:spPr>
          </c:marker>
          <c:dLbls>
            <c:dLbl>
              <c:idx val="0"/>
              <c:layout>
                <c:manualLayout>
                  <c:x val="-5.4683115750596305E-2"/>
                  <c:y val="3.4956679746135415E-2"/>
                </c:manualLayout>
              </c:layout>
              <c:dLblPos val="r"/>
              <c:showLegendKey val="0"/>
              <c:showVal val="1"/>
              <c:showCatName val="0"/>
              <c:showSerName val="0"/>
              <c:showPercent val="0"/>
              <c:showBubbleSize val="0"/>
            </c:dLbl>
            <c:dLbl>
              <c:idx val="1"/>
              <c:layout>
                <c:manualLayout>
                  <c:x val="-2.768854218955533E-2"/>
                  <c:y val="3.8883680509835934E-2"/>
                </c:manualLayout>
              </c:layout>
              <c:dLblPos val="r"/>
              <c:showLegendKey val="0"/>
              <c:showVal val="1"/>
              <c:showCatName val="0"/>
              <c:showSerName val="0"/>
              <c:showPercent val="0"/>
              <c:showBubbleSize val="0"/>
            </c:dLbl>
            <c:dLbl>
              <c:idx val="2"/>
              <c:layout>
                <c:manualLayout>
                  <c:x val="-2.0253716926499153E-2"/>
                  <c:y val="2.9822297024230438E-2"/>
                </c:manualLayout>
              </c:layout>
              <c:dLblPos val="r"/>
              <c:showLegendKey val="0"/>
              <c:showVal val="1"/>
              <c:showCatName val="0"/>
              <c:showSerName val="0"/>
              <c:showPercent val="0"/>
              <c:showBubbleSize val="0"/>
            </c:dLbl>
            <c:dLbl>
              <c:idx val="3"/>
              <c:layout>
                <c:manualLayout>
                  <c:x val="-1.8855157536464058E-2"/>
                  <c:y val="3.1542588631633381E-2"/>
                </c:manualLayout>
              </c:layout>
              <c:dLblPos val="r"/>
              <c:showLegendKey val="0"/>
              <c:showVal val="1"/>
              <c:showCatName val="0"/>
              <c:showSerName val="0"/>
              <c:showPercent val="0"/>
              <c:showBubbleSize val="0"/>
            </c:dLbl>
            <c:dLbl>
              <c:idx val="4"/>
              <c:layout>
                <c:manualLayout>
                  <c:x val="-3.7037031098538203E-2"/>
                  <c:y val="5.1378940552995529E-2"/>
                </c:manualLayout>
              </c:layout>
              <c:tx>
                <c:rich>
                  <a:bodyPr/>
                  <a:lstStyle/>
                  <a:p>
                    <a:r>
                      <a:rPr lang="ru-RU" sz="1000" baseline="0">
                        <a:latin typeface="Calibri" panose="020F0502020204030204" pitchFamily="34" charset="0"/>
                      </a:rPr>
                      <a:t>8,7
до 3 мес.</a:t>
                    </a:r>
                    <a:endParaRPr lang="ru-RU"/>
                  </a:p>
                </c:rich>
              </c:tx>
              <c:dLblPos val="r"/>
              <c:showLegendKey val="0"/>
              <c:showVal val="0"/>
              <c:showCatName val="0"/>
              <c:showSerName val="0"/>
              <c:showPercent val="0"/>
              <c:showBubbleSize val="0"/>
            </c:dLbl>
            <c:spPr>
              <a:noFill/>
              <a:ln w="25400">
                <a:noFill/>
              </a:ln>
            </c:spPr>
            <c:txPr>
              <a:bodyPr/>
              <a:lstStyle/>
              <a:p>
                <a:pPr>
                  <a:defRPr sz="1000" b="1" i="0" u="none" strike="noStrike" baseline="0">
                    <a:solidFill>
                      <a:srgbClr val="00800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'Общие сроки-2017'!$L$14:$P$14</c:f>
              <c:numCache>
                <c:formatCode>General</c:formatCode>
                <c:ptCount val="5"/>
                <c:pt idx="0">
                  <c:v>2013</c:v>
                </c:pt>
                <c:pt idx="1">
                  <c:v>2014</c:v>
                </c:pt>
                <c:pt idx="2">
                  <c:v>2015</c:v>
                </c:pt>
                <c:pt idx="3">
                  <c:v>2016</c:v>
                </c:pt>
                <c:pt idx="4">
                  <c:v>2017</c:v>
                </c:pt>
              </c:numCache>
            </c:numRef>
          </c:cat>
          <c:val>
            <c:numRef>
              <c:f>'Общие сроки-2017'!$L$15:$P$15</c:f>
              <c:numCache>
                <c:formatCode>0.0</c:formatCode>
                <c:ptCount val="5"/>
                <c:pt idx="0">
                  <c:v>7.5063968364735985</c:v>
                </c:pt>
                <c:pt idx="1">
                  <c:v>7.6832013095203298</c:v>
                </c:pt>
                <c:pt idx="2">
                  <c:v>8.0497639653815884</c:v>
                </c:pt>
                <c:pt idx="3">
                  <c:v>7.9079159216858361</c:v>
                </c:pt>
                <c:pt idx="4">
                  <c:v>8.741664407698563</c:v>
                </c:pt>
              </c:numCache>
            </c:numRef>
          </c:val>
          <c:smooth val="0"/>
        </c:ser>
        <c:ser>
          <c:idx val="1"/>
          <c:order val="1"/>
          <c:tx>
            <c:strRef>
              <c:f>'Общие сроки-2017'!$K$16</c:f>
              <c:strCache>
                <c:ptCount val="1"/>
                <c:pt idx="0">
                  <c:v>От 3 до 12 мес.</c:v>
                </c:pt>
              </c:strCache>
            </c:strRef>
          </c:tx>
          <c:spPr>
            <a:ln w="38100">
              <a:solidFill>
                <a:srgbClr val="FF0000"/>
              </a:solidFill>
              <a:prstDash val="solid"/>
            </a:ln>
          </c:spPr>
          <c:marker>
            <c:symbol val="square"/>
            <c:size val="6"/>
            <c:spPr>
              <a:solidFill>
                <a:srgbClr val="FFFF00"/>
              </a:solidFill>
              <a:ln>
                <a:solidFill>
                  <a:srgbClr val="FF0000"/>
                </a:solidFill>
                <a:prstDash val="solid"/>
              </a:ln>
            </c:spPr>
          </c:marker>
          <c:dLbls>
            <c:dLbl>
              <c:idx val="0"/>
              <c:layout>
                <c:manualLayout>
                  <c:x val="-2.5385311916176906E-2"/>
                  <c:y val="4.0943095616481733E-2"/>
                </c:manualLayout>
              </c:layout>
              <c:dLblPos val="r"/>
              <c:showLegendKey val="0"/>
              <c:showVal val="1"/>
              <c:showCatName val="0"/>
              <c:showSerName val="0"/>
              <c:showPercent val="0"/>
              <c:showBubbleSize val="0"/>
            </c:dLbl>
            <c:dLbl>
              <c:idx val="1"/>
              <c:layout>
                <c:manualLayout>
                  <c:x val="-1.6993740757531225E-2"/>
                  <c:y val="4.0736485087348742E-2"/>
                </c:manualLayout>
              </c:layout>
              <c:dLblPos val="r"/>
              <c:showLegendKey val="0"/>
              <c:showVal val="1"/>
              <c:showCatName val="0"/>
              <c:showSerName val="0"/>
              <c:showPercent val="0"/>
              <c:showBubbleSize val="0"/>
            </c:dLbl>
            <c:dLbl>
              <c:idx val="2"/>
              <c:layout>
                <c:manualLayout>
                  <c:x val="-1.6993783721218153E-2"/>
                  <c:y val="3.8067061669849307E-2"/>
                </c:manualLayout>
              </c:layout>
              <c:dLblPos val="r"/>
              <c:showLegendKey val="0"/>
              <c:showVal val="1"/>
              <c:showCatName val="0"/>
              <c:showSerName val="0"/>
              <c:showPercent val="0"/>
              <c:showBubbleSize val="0"/>
            </c:dLbl>
            <c:dLbl>
              <c:idx val="3"/>
              <c:layout>
                <c:manualLayout>
                  <c:x val="-1.6993826684905192E-2"/>
                  <c:y val="2.2538048421613641E-2"/>
                </c:manualLayout>
              </c:layout>
              <c:dLblPos val="r"/>
              <c:showLegendKey val="0"/>
              <c:showVal val="1"/>
              <c:showCatName val="0"/>
              <c:showSerName val="0"/>
              <c:showPercent val="0"/>
              <c:showBubbleSize val="0"/>
            </c:dLbl>
            <c:dLbl>
              <c:idx val="4"/>
              <c:layout>
                <c:manualLayout>
                  <c:x val="-1.6686205621992044E-2"/>
                  <c:y val="0.10104370068188527"/>
                </c:manualLayout>
              </c:layout>
              <c:tx>
                <c:rich>
                  <a:bodyPr/>
                  <a:lstStyle/>
                  <a:p>
                    <a:r>
                      <a:rPr lang="ru-RU" sz="1000" baseline="0">
                        <a:latin typeface="Calibri" panose="020F0502020204030204" pitchFamily="34" charset="0"/>
                      </a:rPr>
                      <a:t>14,0
от 3 до 12 мес. </a:t>
                    </a:r>
                    <a:endParaRPr lang="ru-RU"/>
                  </a:p>
                </c:rich>
              </c:tx>
              <c:dLblPos val="r"/>
              <c:showLegendKey val="0"/>
              <c:showVal val="0"/>
              <c:showCatName val="0"/>
              <c:showSerName val="0"/>
              <c:showPercent val="0"/>
              <c:showBubbleSize val="0"/>
            </c:dLbl>
            <c:spPr>
              <a:noFill/>
              <a:ln w="25400">
                <a:noFill/>
              </a:ln>
            </c:spPr>
            <c:txPr>
              <a:bodyPr/>
              <a:lstStyle/>
              <a:p>
                <a:pPr>
                  <a:defRPr sz="1000" b="1" i="0" u="none" strike="noStrike" baseline="0">
                    <a:solidFill>
                      <a:srgbClr val="FF000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'Общие сроки-2017'!$L$14:$P$14</c:f>
              <c:numCache>
                <c:formatCode>General</c:formatCode>
                <c:ptCount val="5"/>
                <c:pt idx="0">
                  <c:v>2013</c:v>
                </c:pt>
                <c:pt idx="1">
                  <c:v>2014</c:v>
                </c:pt>
                <c:pt idx="2">
                  <c:v>2015</c:v>
                </c:pt>
                <c:pt idx="3">
                  <c:v>2016</c:v>
                </c:pt>
                <c:pt idx="4">
                  <c:v>2017</c:v>
                </c:pt>
              </c:numCache>
            </c:numRef>
          </c:cat>
          <c:val>
            <c:numRef>
              <c:f>'Общие сроки-2017'!$L$16:$P$16</c:f>
              <c:numCache>
                <c:formatCode>0.0</c:formatCode>
                <c:ptCount val="5"/>
                <c:pt idx="0">
                  <c:v>10.599364193223231</c:v>
                </c:pt>
                <c:pt idx="1">
                  <c:v>10.75458185963579</c:v>
                </c:pt>
                <c:pt idx="2">
                  <c:v>11.077469933685512</c:v>
                </c:pt>
                <c:pt idx="3">
                  <c:v>11.901902703279696</c:v>
                </c:pt>
                <c:pt idx="4">
                  <c:v>13.973434535104364</c:v>
                </c:pt>
              </c:numCache>
            </c:numRef>
          </c:val>
          <c:smooth val="0"/>
        </c:ser>
        <c:ser>
          <c:idx val="2"/>
          <c:order val="2"/>
          <c:tx>
            <c:strRef>
              <c:f>'Общие сроки-2017'!$K$17</c:f>
              <c:strCache>
                <c:ptCount val="1"/>
                <c:pt idx="0">
                  <c:v>Более 12 мес.</c:v>
                </c:pt>
              </c:strCache>
            </c:strRef>
          </c:tx>
          <c:spPr>
            <a:ln w="38100">
              <a:solidFill>
                <a:srgbClr val="000080"/>
              </a:solidFill>
              <a:prstDash val="solid"/>
            </a:ln>
          </c:spPr>
          <c:marker>
            <c:symbol val="triangle"/>
            <c:size val="6"/>
            <c:spPr>
              <a:solidFill>
                <a:srgbClr val="99CCFF"/>
              </a:solidFill>
              <a:ln>
                <a:solidFill>
                  <a:srgbClr val="99CCFF"/>
                </a:solidFill>
                <a:prstDash val="solid"/>
              </a:ln>
            </c:spPr>
          </c:marker>
          <c:dLbls>
            <c:dLbl>
              <c:idx val="0"/>
              <c:layout>
                <c:manualLayout>
                  <c:x val="-4.8690051081820909E-3"/>
                  <c:y val="-4.0496770771229831E-2"/>
                </c:manualLayout>
              </c:layout>
              <c:dLblPos val="r"/>
              <c:showLegendKey val="0"/>
              <c:showVal val="1"/>
              <c:showCatName val="0"/>
              <c:showSerName val="0"/>
              <c:showPercent val="0"/>
              <c:showBubbleSize val="0"/>
            </c:dLbl>
            <c:dLbl>
              <c:idx val="1"/>
              <c:layout>
                <c:manualLayout>
                  <c:x val="-1.0463457486757442E-2"/>
                  <c:y val="-5.3399827373015372E-2"/>
                </c:manualLayout>
              </c:layout>
              <c:dLblPos val="r"/>
              <c:showLegendKey val="0"/>
              <c:showVal val="1"/>
              <c:showCatName val="0"/>
              <c:showSerName val="0"/>
              <c:showPercent val="0"/>
              <c:showBubbleSize val="0"/>
            </c:dLbl>
            <c:dLbl>
              <c:idx val="2"/>
              <c:layout>
                <c:manualLayout>
                  <c:x val="-7.6662957430002135E-3"/>
                  <c:y val="-5.219259508532692E-2"/>
                </c:manualLayout>
              </c:layout>
              <c:dLblPos val="r"/>
              <c:showLegendKey val="0"/>
              <c:showVal val="1"/>
              <c:showCatName val="0"/>
              <c:showSerName val="0"/>
              <c:showPercent val="0"/>
              <c:showBubbleSize val="0"/>
            </c:dLbl>
            <c:dLbl>
              <c:idx val="3"/>
              <c:layout>
                <c:manualLayout>
                  <c:x val="-1.4659350475297588E-2"/>
                  <c:y val="-5.4242735974906357E-2"/>
                </c:manualLayout>
              </c:layout>
              <c:dLblPos val="r"/>
              <c:showLegendKey val="0"/>
              <c:showVal val="1"/>
              <c:showCatName val="0"/>
              <c:showSerName val="0"/>
              <c:showPercent val="0"/>
              <c:showBubbleSize val="0"/>
            </c:dLbl>
            <c:dLbl>
              <c:idx val="4"/>
              <c:layout>
                <c:manualLayout>
                  <c:x val="-6.3056550372070475E-2"/>
                  <c:y val="-9.6024314777902006E-2"/>
                </c:manualLayout>
              </c:layout>
              <c:tx>
                <c:rich>
                  <a:bodyPr/>
                  <a:lstStyle/>
                  <a:p>
                    <a:r>
                      <a:rPr lang="ru-RU" sz="1000" baseline="0">
                        <a:latin typeface="Calibri" panose="020F0502020204030204" pitchFamily="34" charset="0"/>
                      </a:rPr>
                      <a:t>
более 12 мес.
0,1</a:t>
                    </a:r>
                    <a:endParaRPr lang="ru-RU"/>
                  </a:p>
                </c:rich>
              </c:tx>
              <c:dLblPos val="r"/>
              <c:showLegendKey val="0"/>
              <c:showVal val="0"/>
              <c:showCatName val="0"/>
              <c:showSerName val="0"/>
              <c:showPercent val="0"/>
              <c:showBubbleSize val="0"/>
            </c:dLbl>
            <c:spPr>
              <a:noFill/>
              <a:ln w="25400">
                <a:noFill/>
              </a:ln>
            </c:spPr>
            <c:txPr>
              <a:bodyPr/>
              <a:lstStyle/>
              <a:p>
                <a:pPr>
                  <a:defRPr sz="1000" b="1" i="0" u="none" strike="noStrike" baseline="0">
                    <a:solidFill>
                      <a:srgbClr val="00008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'Общие сроки-2017'!$L$14:$P$14</c:f>
              <c:numCache>
                <c:formatCode>General</c:formatCode>
                <c:ptCount val="5"/>
                <c:pt idx="0">
                  <c:v>2013</c:v>
                </c:pt>
                <c:pt idx="1">
                  <c:v>2014</c:v>
                </c:pt>
                <c:pt idx="2">
                  <c:v>2015</c:v>
                </c:pt>
                <c:pt idx="3">
                  <c:v>2016</c:v>
                </c:pt>
                <c:pt idx="4">
                  <c:v>2017</c:v>
                </c:pt>
              </c:numCache>
            </c:numRef>
          </c:cat>
          <c:val>
            <c:numRef>
              <c:f>'Общие сроки-2017'!$L$17:$P$17</c:f>
              <c:numCache>
                <c:formatCode>0.0</c:formatCode>
                <c:ptCount val="5"/>
                <c:pt idx="0">
                  <c:v>0.25509808482592849</c:v>
                </c:pt>
                <c:pt idx="1">
                  <c:v>0.25284265294788227</c:v>
                </c:pt>
                <c:pt idx="2">
                  <c:v>0.17070360795773856</c:v>
                </c:pt>
                <c:pt idx="3">
                  <c:v>0.2010336331047243</c:v>
                </c:pt>
                <c:pt idx="4">
                  <c:v>0.11385199240986717</c:v>
                </c:pt>
              </c:numCache>
            </c:numRef>
          </c:val>
          <c:smooth val="0"/>
        </c:ser>
        <c:dLbls>
          <c:showLegendKey val="0"/>
          <c:showVal val="1"/>
          <c:showCatName val="0"/>
          <c:showSerName val="0"/>
          <c:showPercent val="0"/>
          <c:showBubbleSize val="0"/>
        </c:dLbls>
        <c:marker val="1"/>
        <c:smooth val="0"/>
        <c:axId val="168927232"/>
        <c:axId val="168928768"/>
      </c:lineChart>
      <c:catAx>
        <c:axId val="1689272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panose="020F0502020204030204" pitchFamily="34" charset="0"/>
                <a:ea typeface="Arial Cyr"/>
                <a:cs typeface="Arial Cyr"/>
              </a:defRPr>
            </a:pPr>
            <a:endParaRPr lang="ru-RU"/>
          </a:p>
        </c:txPr>
        <c:crossAx val="168928768"/>
        <c:crosses val="autoZero"/>
        <c:auto val="1"/>
        <c:lblAlgn val="ctr"/>
        <c:lblOffset val="100"/>
        <c:tickLblSkip val="1"/>
        <c:tickMarkSkip val="1"/>
        <c:noMultiLvlLbl val="0"/>
      </c:catAx>
      <c:valAx>
        <c:axId val="168928768"/>
        <c:scaling>
          <c:orientation val="minMax"/>
        </c:scaling>
        <c:delete val="0"/>
        <c:axPos val="l"/>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68927232"/>
        <c:crosses val="autoZero"/>
        <c:crossBetween val="between"/>
      </c:valAx>
      <c:spPr>
        <a:gradFill flip="none" rotWithShape="1">
          <a:gsLst>
            <a:gs pos="0">
              <a:schemeClr val="accent6">
                <a:lumMod val="60000"/>
                <a:lumOff val="40000"/>
              </a:schemeClr>
            </a:gs>
            <a:gs pos="100000">
              <a:schemeClr val="accent6">
                <a:lumMod val="20000"/>
                <a:lumOff val="80000"/>
              </a:schemeClr>
            </a:gs>
          </a:gsLst>
          <a:lin ang="16200000" scaled="1"/>
          <a:tileRect/>
        </a:gradFill>
        <a:ln w="12700">
          <a:noFill/>
          <a:prstDash val="solid"/>
        </a:ln>
      </c:spPr>
    </c:plotArea>
    <c:plotVisOnly val="1"/>
    <c:dispBlanksAs val="gap"/>
    <c:showDLblsOverMax val="0"/>
  </c:chart>
  <c:spPr>
    <a:gradFill flip="none" rotWithShape="1">
      <a:gsLst>
        <a:gs pos="0">
          <a:schemeClr val="accent6">
            <a:lumMod val="60000"/>
            <a:lumOff val="40000"/>
          </a:schemeClr>
        </a:gs>
        <a:gs pos="100000">
          <a:schemeClr val="accent6">
            <a:lumMod val="20000"/>
            <a:lumOff val="80000"/>
          </a:schemeClr>
        </a:gs>
      </a:gsLst>
      <a:lin ang="16200000" scaled="1"/>
      <a:tileRect/>
    </a:gra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baseline="0"/>
              <a:t>Тенденции изменения
 утверждаемости приговоров и решений 
за период с 20</a:t>
            </a:r>
            <a:r>
              <a:rPr lang="en-US" sz="1100" baseline="0"/>
              <a:t>1</a:t>
            </a:r>
            <a:r>
              <a:rPr lang="ru-RU" sz="1100" baseline="0"/>
              <a:t>3 по 2017 годы</a:t>
            </a:r>
          </a:p>
        </c:rich>
      </c:tx>
      <c:layout>
        <c:manualLayout>
          <c:xMode val="edge"/>
          <c:yMode val="edge"/>
          <c:x val="0.31719027927264487"/>
          <c:y val="1.1627961853985905E-2"/>
        </c:manualLayout>
      </c:layout>
      <c:overlay val="0"/>
      <c:spPr>
        <a:noFill/>
        <a:ln w="25400">
          <a:noFill/>
        </a:ln>
      </c:spPr>
    </c:title>
    <c:autoTitleDeleted val="0"/>
    <c:plotArea>
      <c:layout>
        <c:manualLayout>
          <c:layoutTarget val="inner"/>
          <c:xMode val="edge"/>
          <c:yMode val="edge"/>
          <c:x val="6.0937499999999999E-2"/>
          <c:y val="0.25247707115659662"/>
          <c:w val="0.75924145537668986"/>
          <c:h val="0.63743780493695956"/>
        </c:manualLayout>
      </c:layout>
      <c:lineChart>
        <c:grouping val="standard"/>
        <c:varyColors val="0"/>
        <c:ser>
          <c:idx val="0"/>
          <c:order val="0"/>
          <c:tx>
            <c:strRef>
              <c:f>'Утверждаемость-Качество2017'!$A$4</c:f>
              <c:strCache>
                <c:ptCount val="1"/>
                <c:pt idx="0">
                  <c:v>Уголовные  </c:v>
                </c:pt>
              </c:strCache>
            </c:strRef>
          </c:tx>
          <c:spPr>
            <a:ln w="38100">
              <a:solidFill>
                <a:srgbClr val="003366"/>
              </a:solidFill>
              <a:prstDash val="solid"/>
            </a:ln>
          </c:spPr>
          <c:marker>
            <c:symbol val="diamond"/>
            <c:size val="9"/>
            <c:spPr>
              <a:solidFill>
                <a:srgbClr val="FFFF00"/>
              </a:solidFill>
              <a:ln>
                <a:solidFill>
                  <a:srgbClr val="000080"/>
                </a:solidFill>
                <a:prstDash val="solid"/>
              </a:ln>
            </c:spPr>
          </c:marker>
          <c:dLbls>
            <c:dLbl>
              <c:idx val="0"/>
              <c:layout>
                <c:manualLayout>
                  <c:x val="-7.8697834645669276E-2"/>
                  <c:y val="-3.8453988265317249E-2"/>
                </c:manualLayout>
              </c:layout>
              <c:dLblPos val="r"/>
              <c:showLegendKey val="0"/>
              <c:showVal val="1"/>
              <c:showCatName val="0"/>
              <c:showSerName val="0"/>
              <c:showPercent val="0"/>
              <c:showBubbleSize val="0"/>
            </c:dLbl>
            <c:dLbl>
              <c:idx val="1"/>
              <c:layout>
                <c:manualLayout>
                  <c:x val="-1.6927634363097758E-3"/>
                  <c:y val="-3.1545749160622263E-2"/>
                </c:manualLayout>
              </c:layout>
              <c:tx>
                <c:rich>
                  <a:bodyPr/>
                  <a:lstStyle/>
                  <a:p>
                    <a:r>
                      <a:rPr lang="en-US" sz="1000" baseline="0">
                        <a:latin typeface="Calibri" panose="020F0502020204030204" pitchFamily="34" charset="0"/>
                      </a:rPr>
                      <a:t>86</a:t>
                    </a:r>
                    <a:r>
                      <a:rPr lang="ru-RU" sz="1000" baseline="0">
                        <a:latin typeface="Calibri" panose="020F0502020204030204" pitchFamily="34" charset="0"/>
                      </a:rPr>
                      <a:t>,0</a:t>
                    </a:r>
                    <a:endParaRPr lang="en-US"/>
                  </a:p>
                </c:rich>
              </c:tx>
              <c:showLegendKey val="0"/>
              <c:showVal val="1"/>
              <c:showCatName val="0"/>
              <c:showSerName val="0"/>
              <c:showPercent val="0"/>
              <c:showBubbleSize val="0"/>
            </c:dLbl>
            <c:dLbl>
              <c:idx val="2"/>
              <c:layout>
                <c:manualLayout>
                  <c:x val="-1.7447859220728959E-2"/>
                  <c:y val="4.1236752337800768E-2"/>
                </c:manualLayout>
              </c:layout>
              <c:showLegendKey val="0"/>
              <c:showVal val="1"/>
              <c:showCatName val="0"/>
              <c:showSerName val="0"/>
              <c:showPercent val="0"/>
              <c:showBubbleSize val="0"/>
            </c:dLbl>
            <c:dLbl>
              <c:idx val="3"/>
              <c:layout>
                <c:manualLayout>
                  <c:x val="-4.583333333333333E-2"/>
                  <c:y val="-4.7091412742382273E-2"/>
                </c:manualLayout>
              </c:layout>
              <c:showLegendKey val="0"/>
              <c:showVal val="1"/>
              <c:showCatName val="0"/>
              <c:showSerName val="0"/>
              <c:showPercent val="0"/>
              <c:showBubbleSize val="0"/>
            </c:dLbl>
            <c:dLbl>
              <c:idx val="4"/>
              <c:layout>
                <c:manualLayout>
                  <c:x val="-1.1666738864582258E-2"/>
                  <c:y val="-5.823419812568572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003366"/>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trendline>
            <c:trendlineType val="log"/>
            <c:dispRSqr val="0"/>
            <c:dispEq val="0"/>
          </c:trendline>
          <c:cat>
            <c:numRef>
              <c:f>'Утверждаемость-Качество2017'!$B$3:$F$3</c:f>
              <c:numCache>
                <c:formatCode>General</c:formatCode>
                <c:ptCount val="5"/>
                <c:pt idx="0">
                  <c:v>2013</c:v>
                </c:pt>
                <c:pt idx="1">
                  <c:v>2014</c:v>
                </c:pt>
                <c:pt idx="2">
                  <c:v>2015</c:v>
                </c:pt>
                <c:pt idx="3">
                  <c:v>2016</c:v>
                </c:pt>
                <c:pt idx="4">
                  <c:v>2017</c:v>
                </c:pt>
              </c:numCache>
            </c:numRef>
          </c:cat>
          <c:val>
            <c:numRef>
              <c:f>'Утверждаемость-Качество2017'!$B$4:$F$4</c:f>
              <c:numCache>
                <c:formatCode>General</c:formatCode>
                <c:ptCount val="5"/>
                <c:pt idx="0">
                  <c:v>84.6</c:v>
                </c:pt>
                <c:pt idx="1">
                  <c:v>86</c:v>
                </c:pt>
                <c:pt idx="2">
                  <c:v>82.5</c:v>
                </c:pt>
                <c:pt idx="3">
                  <c:v>83.9</c:v>
                </c:pt>
                <c:pt idx="4">
                  <c:v>85.1</c:v>
                </c:pt>
              </c:numCache>
            </c:numRef>
          </c:val>
          <c:smooth val="0"/>
        </c:ser>
        <c:ser>
          <c:idx val="1"/>
          <c:order val="1"/>
          <c:tx>
            <c:strRef>
              <c:f>'Утверждаемость-Качество2017'!$A$5</c:f>
              <c:strCache>
                <c:ptCount val="1"/>
                <c:pt idx="0">
                  <c:v>Гражданские</c:v>
                </c:pt>
              </c:strCache>
            </c:strRef>
          </c:tx>
          <c:spPr>
            <a:ln w="38100">
              <a:solidFill>
                <a:srgbClr val="FF00FF"/>
              </a:solidFill>
              <a:prstDash val="solid"/>
            </a:ln>
          </c:spPr>
          <c:marker>
            <c:symbol val="diamond"/>
            <c:size val="9"/>
            <c:spPr>
              <a:solidFill>
                <a:srgbClr val="FFFF00"/>
              </a:solidFill>
              <a:ln>
                <a:solidFill>
                  <a:srgbClr val="800000"/>
                </a:solidFill>
                <a:prstDash val="solid"/>
              </a:ln>
            </c:spPr>
          </c:marker>
          <c:dLbls>
            <c:dLbl>
              <c:idx val="0"/>
              <c:layout>
                <c:manualLayout>
                  <c:x val="-6.0076840796931701E-2"/>
                  <c:y val="-4.0829886691146497E-2"/>
                </c:manualLayout>
              </c:layout>
              <c:dLblPos val="r"/>
              <c:showLegendKey val="0"/>
              <c:showVal val="1"/>
              <c:showCatName val="0"/>
              <c:showSerName val="0"/>
              <c:showPercent val="0"/>
              <c:showBubbleSize val="0"/>
            </c:dLbl>
            <c:dLbl>
              <c:idx val="1"/>
              <c:layout>
                <c:manualLayout>
                  <c:x val="-6.1093832020997378E-2"/>
                  <c:y val="-4.3614413156804151E-2"/>
                </c:manualLayout>
              </c:layout>
              <c:dLblPos val="r"/>
              <c:showLegendKey val="0"/>
              <c:showVal val="1"/>
              <c:showCatName val="0"/>
              <c:showSerName val="0"/>
              <c:showPercent val="0"/>
              <c:showBubbleSize val="0"/>
            </c:dLbl>
            <c:dLbl>
              <c:idx val="2"/>
              <c:layout>
                <c:manualLayout>
                  <c:x val="-4.1276103711750375E-2"/>
                  <c:y val="6.2934266358892765E-2"/>
                </c:manualLayout>
              </c:layout>
              <c:showLegendKey val="0"/>
              <c:showVal val="1"/>
              <c:showCatName val="0"/>
              <c:showSerName val="0"/>
              <c:showPercent val="0"/>
              <c:showBubbleSize val="0"/>
            </c:dLbl>
            <c:dLbl>
              <c:idx val="3"/>
              <c:layout>
                <c:manualLayout>
                  <c:x val="-4.583333333333333E-2"/>
                  <c:y val="-4.1551246537396121E-2"/>
                </c:manualLayout>
              </c:layout>
              <c:showLegendKey val="0"/>
              <c:showVal val="1"/>
              <c:showCatName val="0"/>
              <c:showSerName val="0"/>
              <c:showPercent val="0"/>
              <c:showBubbleSize val="0"/>
            </c:dLbl>
            <c:dLbl>
              <c:idx val="4"/>
              <c:layout>
                <c:manualLayout>
                  <c:x val="-8.8020013123359577E-3"/>
                  <c:y val="3.6264737178123008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800080"/>
                    </a:solidFill>
                    <a:latin typeface="Calibri" panose="020F0502020204030204" pitchFamily="34" charset="0"/>
                    <a:ea typeface="Arial Cyr"/>
                    <a:cs typeface="Arial Cyr"/>
                  </a:defRPr>
                </a:pPr>
                <a:endParaRPr lang="ru-RU"/>
              </a:p>
            </c:txPr>
            <c:showLegendKey val="0"/>
            <c:showVal val="1"/>
            <c:showCatName val="0"/>
            <c:showSerName val="1"/>
            <c:showPercent val="0"/>
            <c:showBubbleSize val="0"/>
            <c:showLeaderLines val="0"/>
          </c:dLbls>
          <c:trendline>
            <c:spPr>
              <a:ln w="12700">
                <a:solidFill>
                  <a:srgbClr val="993300"/>
                </a:solidFill>
                <a:prstDash val="solid"/>
              </a:ln>
            </c:spPr>
            <c:trendlineType val="log"/>
            <c:dispRSqr val="0"/>
            <c:dispEq val="0"/>
          </c:trendline>
          <c:cat>
            <c:numRef>
              <c:f>'Утверждаемость-Качество2017'!$B$3:$F$3</c:f>
              <c:numCache>
                <c:formatCode>General</c:formatCode>
                <c:ptCount val="5"/>
                <c:pt idx="0">
                  <c:v>2013</c:v>
                </c:pt>
                <c:pt idx="1">
                  <c:v>2014</c:v>
                </c:pt>
                <c:pt idx="2">
                  <c:v>2015</c:v>
                </c:pt>
                <c:pt idx="3">
                  <c:v>2016</c:v>
                </c:pt>
                <c:pt idx="4">
                  <c:v>2017</c:v>
                </c:pt>
              </c:numCache>
            </c:numRef>
          </c:cat>
          <c:val>
            <c:numRef>
              <c:f>'Утверждаемость-Качество2017'!$B$5:$F$5</c:f>
              <c:numCache>
                <c:formatCode>0.0</c:formatCode>
                <c:ptCount val="5"/>
                <c:pt idx="0">
                  <c:v>76.400000000000006</c:v>
                </c:pt>
                <c:pt idx="1">
                  <c:v>77.8</c:v>
                </c:pt>
                <c:pt idx="2">
                  <c:v>79</c:v>
                </c:pt>
                <c:pt idx="3">
                  <c:v>78.7</c:v>
                </c:pt>
                <c:pt idx="4">
                  <c:v>78.7</c:v>
                </c:pt>
              </c:numCache>
            </c:numRef>
          </c:val>
          <c:smooth val="0"/>
        </c:ser>
        <c:dLbls>
          <c:showLegendKey val="0"/>
          <c:showVal val="0"/>
          <c:showCatName val="0"/>
          <c:showSerName val="1"/>
          <c:showPercent val="0"/>
          <c:showBubbleSize val="0"/>
        </c:dLbls>
        <c:marker val="1"/>
        <c:smooth val="0"/>
        <c:axId val="168938880"/>
        <c:axId val="168948864"/>
      </c:lineChart>
      <c:catAx>
        <c:axId val="1689388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panose="020F0502020204030204" pitchFamily="34" charset="0"/>
                <a:ea typeface="Arial Cyr"/>
                <a:cs typeface="Arial Cyr"/>
              </a:defRPr>
            </a:pPr>
            <a:endParaRPr lang="ru-RU"/>
          </a:p>
        </c:txPr>
        <c:crossAx val="168948864"/>
        <c:crosses val="autoZero"/>
        <c:auto val="1"/>
        <c:lblAlgn val="ctr"/>
        <c:lblOffset val="100"/>
        <c:tickLblSkip val="1"/>
        <c:tickMarkSkip val="1"/>
        <c:noMultiLvlLbl val="0"/>
      </c:catAx>
      <c:valAx>
        <c:axId val="16894886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168938880"/>
        <c:crosses val="autoZero"/>
        <c:crossBetween val="between"/>
      </c:valAx>
      <c:spPr>
        <a:gradFill flip="none" rotWithShape="1">
          <a:gsLst>
            <a:gs pos="0">
              <a:srgbClr val="33CCCC"/>
            </a:gs>
            <a:gs pos="100000">
              <a:schemeClr val="accent4">
                <a:lumMod val="40000"/>
                <a:lumOff val="60000"/>
              </a:schemeClr>
            </a:gs>
          </a:gsLst>
          <a:lin ang="16200000" scaled="1"/>
          <a:tileRect/>
        </a:gradFill>
        <a:ln w="12700">
          <a:noFill/>
          <a:prstDash val="solid"/>
        </a:ln>
      </c:spPr>
    </c:plotArea>
    <c:legend>
      <c:legendPos val="r"/>
      <c:legendEntry>
        <c:idx val="2"/>
        <c:delete val="1"/>
      </c:legendEntry>
      <c:legendEntry>
        <c:idx val="3"/>
        <c:delete val="1"/>
      </c:legendEntry>
      <c:layout>
        <c:manualLayout>
          <c:xMode val="edge"/>
          <c:yMode val="edge"/>
          <c:x val="0.83955266740099765"/>
          <c:y val="0.2054274088843262"/>
          <c:w val="0.1587597331704525"/>
          <c:h val="0.4788791971822407"/>
        </c:manualLayout>
      </c:layout>
      <c:overlay val="1"/>
      <c:txPr>
        <a:bodyPr/>
        <a:lstStyle/>
        <a:p>
          <a:pPr>
            <a:defRPr sz="1100" baseline="0"/>
          </a:pPr>
          <a:endParaRPr lang="ru-RU"/>
        </a:p>
      </c:txPr>
    </c:legend>
    <c:plotVisOnly val="1"/>
    <c:dispBlanksAs val="gap"/>
    <c:showDLblsOverMax val="0"/>
  </c:chart>
  <c:spPr>
    <a:gradFill flip="none" rotWithShape="1">
      <a:gsLst>
        <a:gs pos="0">
          <a:srgbClr val="33CCCC"/>
        </a:gs>
        <a:gs pos="100000">
          <a:schemeClr val="accent4">
            <a:lumMod val="40000"/>
            <a:lumOff val="60000"/>
          </a:schemeClr>
        </a:gs>
      </a:gsLst>
      <a:lin ang="16200000" scaled="1"/>
      <a:tileRect/>
    </a:gra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baseline="0"/>
              <a:t>Тенденции изменения
качества работы судов за период с 20</a:t>
            </a:r>
            <a:r>
              <a:rPr lang="en-US" sz="1100" baseline="0"/>
              <a:t>1</a:t>
            </a:r>
            <a:r>
              <a:rPr lang="ru-RU" sz="1100" baseline="0"/>
              <a:t>3 по 2017 годы</a:t>
            </a:r>
          </a:p>
        </c:rich>
      </c:tx>
      <c:layout>
        <c:manualLayout>
          <c:xMode val="edge"/>
          <c:yMode val="edge"/>
          <c:x val="0.17552099737532809"/>
          <c:y val="1.4716809047517709E-2"/>
        </c:manualLayout>
      </c:layout>
      <c:overlay val="0"/>
      <c:spPr>
        <a:noFill/>
        <a:ln w="25400">
          <a:noFill/>
        </a:ln>
      </c:spPr>
    </c:title>
    <c:autoTitleDeleted val="0"/>
    <c:plotArea>
      <c:layout>
        <c:manualLayout>
          <c:layoutTarget val="inner"/>
          <c:xMode val="edge"/>
          <c:yMode val="edge"/>
          <c:x val="0.11470416573554347"/>
          <c:y val="0.19317002484955539"/>
          <c:w val="0.70884610834330186"/>
          <c:h val="0.68992892933837813"/>
        </c:manualLayout>
      </c:layout>
      <c:lineChart>
        <c:grouping val="standard"/>
        <c:varyColors val="0"/>
        <c:ser>
          <c:idx val="0"/>
          <c:order val="0"/>
          <c:tx>
            <c:strRef>
              <c:f>'Утверждаемость-Качество2017'!$N$4</c:f>
              <c:strCache>
                <c:ptCount val="1"/>
                <c:pt idx="0">
                  <c:v>Уголовные  </c:v>
                </c:pt>
              </c:strCache>
            </c:strRef>
          </c:tx>
          <c:spPr>
            <a:ln w="38100">
              <a:solidFill>
                <a:srgbClr val="006600"/>
              </a:solidFill>
              <a:prstDash val="solid"/>
            </a:ln>
          </c:spPr>
          <c:marker>
            <c:symbol val="diamond"/>
            <c:size val="9"/>
            <c:spPr>
              <a:solidFill>
                <a:srgbClr val="FF0000"/>
              </a:solidFill>
              <a:ln>
                <a:solidFill>
                  <a:srgbClr val="000080"/>
                </a:solidFill>
                <a:prstDash val="solid"/>
              </a:ln>
            </c:spPr>
          </c:marker>
          <c:dLbls>
            <c:dLbl>
              <c:idx val="0"/>
              <c:layout>
                <c:manualLayout>
                  <c:x val="-5.0744942357998236E-2"/>
                  <c:y val="4.7986108200353282E-2"/>
                </c:manualLayout>
              </c:layout>
              <c:dLblPos val="r"/>
              <c:showLegendKey val="0"/>
              <c:showVal val="1"/>
              <c:showCatName val="0"/>
              <c:showSerName val="0"/>
              <c:showPercent val="0"/>
              <c:showBubbleSize val="0"/>
            </c:dLbl>
            <c:dLbl>
              <c:idx val="1"/>
              <c:layout>
                <c:manualLayout>
                  <c:x val="-3.8397328881469114E-2"/>
                  <c:y val="-4.2585551330798478E-2"/>
                </c:manualLayout>
              </c:layout>
              <c:showLegendKey val="0"/>
              <c:showVal val="1"/>
              <c:showCatName val="0"/>
              <c:showSerName val="0"/>
              <c:showPercent val="0"/>
              <c:showBubbleSize val="0"/>
            </c:dLbl>
            <c:dLbl>
              <c:idx val="2"/>
              <c:layout>
                <c:manualLayout>
                  <c:x val="-3.5058430717863041E-2"/>
                  <c:y val="4.2585551330798478E-2"/>
                </c:manualLayout>
              </c:layout>
              <c:showLegendKey val="0"/>
              <c:showVal val="1"/>
              <c:showCatName val="0"/>
              <c:showSerName val="0"/>
              <c:showPercent val="0"/>
              <c:showBubbleSize val="0"/>
            </c:dLbl>
            <c:dLbl>
              <c:idx val="3"/>
              <c:layout>
                <c:manualLayout>
                  <c:x val="-2.7213334560225046E-2"/>
                  <c:y val="4.9764498068920089E-2"/>
                </c:manualLayout>
              </c:layout>
              <c:dLblPos val="r"/>
              <c:showLegendKey val="0"/>
              <c:showVal val="1"/>
              <c:showCatName val="0"/>
              <c:showSerName val="0"/>
              <c:showPercent val="0"/>
              <c:showBubbleSize val="0"/>
            </c:dLbl>
            <c:dLbl>
              <c:idx val="4"/>
              <c:layout>
                <c:manualLayout>
                  <c:x val="-8.0067435226690159E-2"/>
                  <c:y val="-2.8602975958803629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00660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trendline>
            <c:spPr>
              <a:ln>
                <a:solidFill>
                  <a:srgbClr val="9BBB59">
                    <a:lumMod val="20000"/>
                    <a:lumOff val="80000"/>
                  </a:srgbClr>
                </a:solidFill>
              </a:ln>
            </c:spPr>
            <c:trendlineType val="linear"/>
            <c:dispRSqr val="0"/>
            <c:dispEq val="0"/>
          </c:trendline>
          <c:cat>
            <c:numRef>
              <c:f>'Утверждаемость-Качество2017'!$O$3:$S$3</c:f>
              <c:numCache>
                <c:formatCode>General</c:formatCode>
                <c:ptCount val="5"/>
                <c:pt idx="0">
                  <c:v>2013</c:v>
                </c:pt>
                <c:pt idx="1">
                  <c:v>2014</c:v>
                </c:pt>
                <c:pt idx="2">
                  <c:v>2015</c:v>
                </c:pt>
                <c:pt idx="3">
                  <c:v>2016</c:v>
                </c:pt>
                <c:pt idx="4">
                  <c:v>2017</c:v>
                </c:pt>
              </c:numCache>
            </c:numRef>
          </c:cat>
          <c:val>
            <c:numRef>
              <c:f>'Утверждаемость-Качество2017'!$O$4:$S$4</c:f>
              <c:numCache>
                <c:formatCode>General</c:formatCode>
                <c:ptCount val="5"/>
                <c:pt idx="0">
                  <c:v>95.8</c:v>
                </c:pt>
                <c:pt idx="1">
                  <c:v>96.2</c:v>
                </c:pt>
                <c:pt idx="2">
                  <c:v>95.8</c:v>
                </c:pt>
                <c:pt idx="3">
                  <c:v>95.3</c:v>
                </c:pt>
                <c:pt idx="4" formatCode="0.0">
                  <c:v>96</c:v>
                </c:pt>
              </c:numCache>
            </c:numRef>
          </c:val>
          <c:smooth val="0"/>
        </c:ser>
        <c:ser>
          <c:idx val="1"/>
          <c:order val="1"/>
          <c:tx>
            <c:strRef>
              <c:f>'Утверждаемость-Качество2017'!$N$5</c:f>
              <c:strCache>
                <c:ptCount val="1"/>
                <c:pt idx="0">
                  <c:v>Гражданские</c:v>
                </c:pt>
              </c:strCache>
            </c:strRef>
          </c:tx>
          <c:spPr>
            <a:ln w="38100">
              <a:solidFill>
                <a:srgbClr val="FF0000"/>
              </a:solidFill>
              <a:prstDash val="solid"/>
            </a:ln>
          </c:spPr>
          <c:marker>
            <c:symbol val="diamond"/>
            <c:size val="9"/>
            <c:spPr>
              <a:solidFill>
                <a:srgbClr val="FFFF00"/>
              </a:solidFill>
              <a:ln>
                <a:solidFill>
                  <a:srgbClr val="800000"/>
                </a:solidFill>
                <a:prstDash val="solid"/>
              </a:ln>
            </c:spPr>
          </c:marker>
          <c:dLbls>
            <c:dLbl>
              <c:idx val="0"/>
              <c:layout>
                <c:manualLayout>
                  <c:x val="-3.3074021006138841E-2"/>
                  <c:y val="4.6566749498518009E-2"/>
                </c:manualLayout>
              </c:layout>
              <c:dLblPos val="r"/>
              <c:showLegendKey val="0"/>
              <c:showVal val="1"/>
              <c:showCatName val="0"/>
              <c:showSerName val="0"/>
              <c:showPercent val="0"/>
              <c:showBubbleSize val="0"/>
            </c:dLbl>
            <c:dLbl>
              <c:idx val="1"/>
              <c:layout>
                <c:manualLayout>
                  <c:x val="-2.7426550813034849E-2"/>
                  <c:y val="4.5107631508038683E-2"/>
                </c:manualLayout>
              </c:layout>
              <c:dLblPos val="r"/>
              <c:showLegendKey val="0"/>
              <c:showVal val="1"/>
              <c:showCatName val="0"/>
              <c:showSerName val="0"/>
              <c:showPercent val="0"/>
              <c:showBubbleSize val="0"/>
            </c:dLbl>
            <c:dLbl>
              <c:idx val="2"/>
              <c:layout>
                <c:manualLayout>
                  <c:x val="1.6694490818030662E-3"/>
                  <c:y val="-3.6501901140684384E-2"/>
                </c:manualLayout>
              </c:layout>
              <c:showLegendKey val="0"/>
              <c:showVal val="1"/>
              <c:showCatName val="0"/>
              <c:showSerName val="0"/>
              <c:showPercent val="0"/>
              <c:showBubbleSize val="0"/>
            </c:dLbl>
            <c:dLbl>
              <c:idx val="3"/>
              <c:layout>
                <c:manualLayout>
                  <c:x val="-3.6727879799666109E-2"/>
                  <c:y val="4.2585551330798478E-2"/>
                </c:manualLayout>
              </c:layout>
              <c:showLegendKey val="0"/>
              <c:showVal val="1"/>
              <c:showCatName val="0"/>
              <c:showSerName val="0"/>
              <c:showPercent val="0"/>
              <c:showBubbleSize val="0"/>
            </c:dLbl>
            <c:dLbl>
              <c:idx val="4"/>
              <c:layout>
                <c:manualLayout>
                  <c:x val="-4.219092187767013E-2"/>
                  <c:y val="4.5390257776713273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B4000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trendline>
            <c:spPr>
              <a:ln>
                <a:solidFill>
                  <a:srgbClr val="FFFFCC"/>
                </a:solidFill>
              </a:ln>
            </c:spPr>
            <c:trendlineType val="linear"/>
            <c:dispRSqr val="0"/>
            <c:dispEq val="0"/>
          </c:trendline>
          <c:cat>
            <c:numRef>
              <c:f>'Утверждаемость-Качество2017'!$O$3:$S$3</c:f>
              <c:numCache>
                <c:formatCode>General</c:formatCode>
                <c:ptCount val="5"/>
                <c:pt idx="0">
                  <c:v>2013</c:v>
                </c:pt>
                <c:pt idx="1">
                  <c:v>2014</c:v>
                </c:pt>
                <c:pt idx="2">
                  <c:v>2015</c:v>
                </c:pt>
                <c:pt idx="3">
                  <c:v>2016</c:v>
                </c:pt>
                <c:pt idx="4">
                  <c:v>2017</c:v>
                </c:pt>
              </c:numCache>
            </c:numRef>
          </c:cat>
          <c:val>
            <c:numRef>
              <c:f>'Утверждаемость-Качество2017'!$O$5:$S$5</c:f>
              <c:numCache>
                <c:formatCode>0.0</c:formatCode>
                <c:ptCount val="5"/>
                <c:pt idx="0">
                  <c:v>97.9</c:v>
                </c:pt>
                <c:pt idx="1">
                  <c:v>98</c:v>
                </c:pt>
                <c:pt idx="2">
                  <c:v>98.1</c:v>
                </c:pt>
                <c:pt idx="3">
                  <c:v>97.6</c:v>
                </c:pt>
                <c:pt idx="4">
                  <c:v>97.1</c:v>
                </c:pt>
              </c:numCache>
            </c:numRef>
          </c:val>
          <c:smooth val="0"/>
        </c:ser>
        <c:dLbls>
          <c:showLegendKey val="0"/>
          <c:showVal val="0"/>
          <c:showCatName val="0"/>
          <c:showSerName val="1"/>
          <c:showPercent val="0"/>
          <c:showBubbleSize val="0"/>
        </c:dLbls>
        <c:marker val="1"/>
        <c:smooth val="0"/>
        <c:axId val="170210432"/>
        <c:axId val="170211968"/>
      </c:lineChart>
      <c:catAx>
        <c:axId val="1702104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panose="020F0502020204030204" pitchFamily="34" charset="0"/>
                <a:ea typeface="Arial Cyr"/>
                <a:cs typeface="Arial Cyr"/>
              </a:defRPr>
            </a:pPr>
            <a:endParaRPr lang="ru-RU"/>
          </a:p>
        </c:txPr>
        <c:crossAx val="170211968"/>
        <c:crosses val="autoZero"/>
        <c:auto val="1"/>
        <c:lblAlgn val="ctr"/>
        <c:lblOffset val="100"/>
        <c:tickLblSkip val="1"/>
        <c:tickMarkSkip val="1"/>
        <c:noMultiLvlLbl val="0"/>
      </c:catAx>
      <c:valAx>
        <c:axId val="17021196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170210432"/>
        <c:crosses val="autoZero"/>
        <c:crossBetween val="between"/>
      </c:valAx>
      <c:spPr>
        <a:noFill/>
        <a:ln w="12700">
          <a:noFill/>
          <a:prstDash val="solid"/>
        </a:ln>
      </c:spPr>
    </c:plotArea>
    <c:legend>
      <c:legendPos val="r"/>
      <c:legendEntry>
        <c:idx val="0"/>
        <c:txPr>
          <a:bodyPr/>
          <a:lstStyle/>
          <a:p>
            <a:pPr>
              <a:defRPr sz="1000" b="1" i="0" u="none" strike="noStrike" baseline="0">
                <a:solidFill>
                  <a:srgbClr val="000000"/>
                </a:solidFill>
                <a:latin typeface="Calibri" panose="020F0502020204030204" pitchFamily="34" charset="0"/>
                <a:ea typeface="Arial Cyr"/>
                <a:cs typeface="Arial Cyr"/>
              </a:defRPr>
            </a:pPr>
            <a:endParaRPr lang="ru-RU"/>
          </a:p>
        </c:txPr>
      </c:legendEntry>
      <c:legendEntry>
        <c:idx val="1"/>
        <c:txPr>
          <a:bodyPr/>
          <a:lstStyle/>
          <a:p>
            <a:pPr>
              <a:defRPr sz="1000" b="1" i="0" u="none" strike="noStrike" baseline="0">
                <a:solidFill>
                  <a:srgbClr val="000000"/>
                </a:solidFill>
                <a:latin typeface="Calibri" panose="020F0502020204030204" pitchFamily="34" charset="0"/>
                <a:ea typeface="Arial Cyr"/>
                <a:cs typeface="Arial Cyr"/>
              </a:defRPr>
            </a:pPr>
            <a:endParaRPr lang="ru-RU"/>
          </a:p>
        </c:txPr>
      </c:legendEntry>
      <c:legendEntry>
        <c:idx val="2"/>
        <c:delete val="1"/>
      </c:legendEntry>
      <c:legendEntry>
        <c:idx val="3"/>
        <c:delete val="1"/>
      </c:legendEntry>
      <c:layout>
        <c:manualLayout>
          <c:xMode val="edge"/>
          <c:yMode val="edge"/>
          <c:x val="0.77747906820273871"/>
          <c:y val="0.4795074380608727"/>
          <c:w val="0.22252086811352254"/>
          <c:h val="0.31131331397263556"/>
        </c:manualLayout>
      </c:layout>
      <c:overlay val="1"/>
      <c:spPr>
        <a:noFill/>
        <a:ln w="3175">
          <a:noFill/>
          <a:prstDash val="solid"/>
        </a:ln>
      </c:spPr>
      <c:txPr>
        <a:bodyPr/>
        <a:lstStyle/>
        <a:p>
          <a:pPr>
            <a:defRPr sz="1000" b="0" i="0" u="none" strike="noStrike" baseline="0">
              <a:solidFill>
                <a:srgbClr val="000000"/>
              </a:solidFill>
              <a:latin typeface="Calibri" panose="020F0502020204030204" pitchFamily="34" charset="0"/>
              <a:ea typeface="Arial Cyr"/>
              <a:cs typeface="Arial Cyr"/>
            </a:defRPr>
          </a:pPr>
          <a:endParaRPr lang="ru-RU"/>
        </a:p>
      </c:txPr>
    </c:legend>
    <c:plotVisOnly val="1"/>
    <c:dispBlanksAs val="gap"/>
    <c:showDLblsOverMax val="0"/>
  </c:chart>
  <c:spPr>
    <a:gradFill flip="none" rotWithShape="1">
      <a:gsLst>
        <a:gs pos="0">
          <a:srgbClr val="85A644"/>
        </a:gs>
        <a:gs pos="77000">
          <a:srgbClr val="F79646">
            <a:lumMod val="40000"/>
            <a:lumOff val="60000"/>
          </a:srgbClr>
        </a:gs>
      </a:gsLst>
      <a:lin ang="8100000" scaled="1"/>
      <a:tileRect/>
    </a:gra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panose="02020603050405020304" pitchFamily="18" charset="0"/>
                <a:ea typeface="Arial Cyr"/>
                <a:cs typeface="Arial Cyr"/>
              </a:defRPr>
            </a:pPr>
            <a:r>
              <a:rPr lang="ru-RU" sz="1000" baseline="0">
                <a:latin typeface="Times New Roman" panose="02020603050405020304" pitchFamily="18" charset="0"/>
              </a:rPr>
              <a:t>Количество рассмотренных уголовных дел
 по ст. 228-233 УК РФ  </a:t>
            </a:r>
          </a:p>
        </c:rich>
      </c:tx>
      <c:layout>
        <c:manualLayout>
          <c:xMode val="edge"/>
          <c:yMode val="edge"/>
          <c:x val="0.20636545057392089"/>
          <c:y val="5.0418032509884761E-2"/>
        </c:manualLayout>
      </c:layout>
      <c:overlay val="0"/>
      <c:spPr>
        <a:noFill/>
        <a:ln w="25400">
          <a:noFill/>
        </a:ln>
      </c:spPr>
    </c:title>
    <c:autoTitleDeleted val="0"/>
    <c:plotArea>
      <c:layout>
        <c:manualLayout>
          <c:layoutTarget val="inner"/>
          <c:xMode val="edge"/>
          <c:yMode val="edge"/>
          <c:x val="0.11559633027522936"/>
          <c:y val="0.24208513618232869"/>
          <c:w val="0.84587155963302751"/>
          <c:h val="0.64985675994283565"/>
        </c:manualLayout>
      </c:layout>
      <c:lineChart>
        <c:grouping val="standard"/>
        <c:varyColors val="0"/>
        <c:ser>
          <c:idx val="0"/>
          <c:order val="0"/>
          <c:tx>
            <c:strRef>
              <c:f>'Наркотики- 2017'!$H$4</c:f>
              <c:strCache>
                <c:ptCount val="1"/>
              </c:strCache>
            </c:strRef>
          </c:tx>
          <c:spPr>
            <a:ln w="38100">
              <a:solidFill>
                <a:srgbClr val="800080"/>
              </a:solidFill>
              <a:prstDash val="solid"/>
            </a:ln>
          </c:spPr>
          <c:marker>
            <c:symbol val="diamond"/>
            <c:size val="8"/>
            <c:spPr>
              <a:solidFill>
                <a:srgbClr val="FFFF00"/>
              </a:solidFill>
              <a:ln>
                <a:solidFill>
                  <a:srgbClr val="000080"/>
                </a:solidFill>
                <a:prstDash val="solid"/>
              </a:ln>
            </c:spPr>
          </c:marker>
          <c:dLbls>
            <c:dLbl>
              <c:idx val="0"/>
              <c:layout>
                <c:manualLayout>
                  <c:x val="-4.443492496331905E-2"/>
                  <c:y val="-5.9554274465691788E-2"/>
                </c:manualLayout>
              </c:layout>
              <c:dLblPos val="r"/>
              <c:showLegendKey val="0"/>
              <c:showVal val="1"/>
              <c:showCatName val="0"/>
              <c:showSerName val="0"/>
              <c:showPercent val="0"/>
              <c:showBubbleSize val="0"/>
            </c:dLbl>
            <c:dLbl>
              <c:idx val="1"/>
              <c:layout>
                <c:manualLayout>
                  <c:x val="-6.075381080660304E-2"/>
                  <c:y val="6.2677165354330711E-2"/>
                </c:manualLayout>
              </c:layout>
              <c:dLblPos val="r"/>
              <c:showLegendKey val="0"/>
              <c:showVal val="1"/>
              <c:showCatName val="0"/>
              <c:showSerName val="0"/>
              <c:showPercent val="0"/>
              <c:showBubbleSize val="0"/>
            </c:dLbl>
            <c:dLbl>
              <c:idx val="2"/>
              <c:layout>
                <c:manualLayout>
                  <c:x val="-4.5694390058642308E-2"/>
                  <c:y val="6.057508436445444E-2"/>
                </c:manualLayout>
              </c:layout>
              <c:dLblPos val="r"/>
              <c:showLegendKey val="0"/>
              <c:showVal val="1"/>
              <c:showCatName val="0"/>
              <c:showSerName val="0"/>
              <c:showPercent val="0"/>
              <c:showBubbleSize val="0"/>
            </c:dLbl>
            <c:dLbl>
              <c:idx val="3"/>
              <c:layout>
                <c:manualLayout>
                  <c:x val="-4.5236763019961032E-2"/>
                  <c:y val="-6.1424704724409446E-2"/>
                </c:manualLayout>
              </c:layout>
              <c:dLblPos val="r"/>
              <c:showLegendKey val="0"/>
              <c:showVal val="1"/>
              <c:showCatName val="0"/>
              <c:showSerName val="0"/>
              <c:showPercent val="0"/>
              <c:showBubbleSize val="0"/>
            </c:dLbl>
            <c:dLbl>
              <c:idx val="4"/>
              <c:layout>
                <c:manualLayout>
                  <c:x val="-3.3434601337602586E-2"/>
                  <c:y val="4.7848020170686831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80008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trendline>
            <c:spPr>
              <a:ln w="12700">
                <a:solidFill>
                  <a:srgbClr val="008080"/>
                </a:solidFill>
                <a:prstDash val="solid"/>
              </a:ln>
            </c:spPr>
            <c:trendlineType val="poly"/>
            <c:order val="2"/>
            <c:dispRSqr val="0"/>
            <c:dispEq val="0"/>
          </c:trendline>
          <c:cat>
            <c:numRef>
              <c:f>'Наркотики- 2017'!$C$2:$G$2</c:f>
              <c:numCache>
                <c:formatCode>General</c:formatCode>
                <c:ptCount val="5"/>
                <c:pt idx="0">
                  <c:v>2013</c:v>
                </c:pt>
                <c:pt idx="1">
                  <c:v>2014</c:v>
                </c:pt>
                <c:pt idx="2">
                  <c:v>2015</c:v>
                </c:pt>
                <c:pt idx="3">
                  <c:v>2016</c:v>
                </c:pt>
                <c:pt idx="4">
                  <c:v>2017</c:v>
                </c:pt>
              </c:numCache>
            </c:numRef>
          </c:cat>
          <c:val>
            <c:numRef>
              <c:f>'Наркотики- 2017'!$C$3:$G$3</c:f>
              <c:numCache>
                <c:formatCode>General</c:formatCode>
                <c:ptCount val="5"/>
                <c:pt idx="0">
                  <c:v>1961</c:v>
                </c:pt>
                <c:pt idx="1">
                  <c:v>1956</c:v>
                </c:pt>
                <c:pt idx="2">
                  <c:v>1853</c:v>
                </c:pt>
                <c:pt idx="3">
                  <c:v>1636</c:v>
                </c:pt>
                <c:pt idx="4">
                  <c:v>1808</c:v>
                </c:pt>
              </c:numCache>
            </c:numRef>
          </c:val>
          <c:smooth val="0"/>
        </c:ser>
        <c:dLbls>
          <c:showLegendKey val="0"/>
          <c:showVal val="1"/>
          <c:showCatName val="0"/>
          <c:showSerName val="0"/>
          <c:showPercent val="0"/>
          <c:showBubbleSize val="0"/>
        </c:dLbls>
        <c:marker val="1"/>
        <c:smooth val="0"/>
        <c:axId val="170243584"/>
        <c:axId val="170245120"/>
      </c:lineChart>
      <c:catAx>
        <c:axId val="1702435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170245120"/>
        <c:crosses val="autoZero"/>
        <c:auto val="1"/>
        <c:lblAlgn val="ctr"/>
        <c:lblOffset val="100"/>
        <c:tickLblSkip val="1"/>
        <c:tickMarkSkip val="1"/>
        <c:noMultiLvlLbl val="0"/>
      </c:catAx>
      <c:valAx>
        <c:axId val="17024512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Cyr"/>
                <a:ea typeface="Arial Cyr"/>
                <a:cs typeface="Arial Cyr"/>
              </a:defRPr>
            </a:pPr>
            <a:endParaRPr lang="ru-RU"/>
          </a:p>
        </c:txPr>
        <c:crossAx val="170243584"/>
        <c:crosses val="autoZero"/>
        <c:crossBetween val="between"/>
      </c:valAx>
      <c:spPr>
        <a:gradFill rotWithShape="0">
          <a:gsLst>
            <a:gs pos="0">
              <a:srgbClr val="A42C96"/>
            </a:gs>
            <a:gs pos="100000">
              <a:srgbClr xmlns:mc="http://schemas.openxmlformats.org/markup-compatibility/2006" xmlns:a14="http://schemas.microsoft.com/office/drawing/2010/main" val="FFFFCC" mc:Ignorable="a14" a14:legacySpreadsheetColorIndex="26"/>
            </a:gs>
          </a:gsLst>
          <a:lin ang="18900000" scaled="1"/>
        </a:gradFill>
        <a:ln w="25400">
          <a:noFill/>
        </a:ln>
      </c:spPr>
    </c:plotArea>
    <c:plotVisOnly val="1"/>
    <c:dispBlanksAs val="gap"/>
    <c:showDLblsOverMax val="0"/>
  </c:chart>
  <c:spPr>
    <a:gradFill rotWithShape="0">
      <a:gsLst>
        <a:gs pos="0">
          <a:srgbClr val="800080"/>
        </a:gs>
        <a:gs pos="100000">
          <a:srgbClr xmlns:mc="http://schemas.openxmlformats.org/markup-compatibility/2006" xmlns:a14="http://schemas.microsoft.com/office/drawing/2010/main" val="FFFFCC" mc:Ignorable="a14" a14:legacySpreadsheetColorIndex="26"/>
        </a:gs>
      </a:gsLst>
      <a:lin ang="18900000" scaled="1"/>
    </a:gra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panose="02020603050405020304" pitchFamily="18" charset="0"/>
                <a:ea typeface="Arial Cyr"/>
                <a:cs typeface="Arial Cyr"/>
              </a:defRPr>
            </a:pPr>
            <a:r>
              <a:rPr lang="ru-RU" sz="1100" baseline="0">
                <a:latin typeface="Times New Roman" panose="02020603050405020304" pitchFamily="18" charset="0"/>
              </a:rPr>
              <a:t>Тенденции изменения результатов рассмотрения уголовных дел
за период с 20</a:t>
            </a:r>
            <a:r>
              <a:rPr lang="en-US" sz="1100" baseline="0">
                <a:latin typeface="Times New Roman" panose="02020603050405020304" pitchFamily="18" charset="0"/>
              </a:rPr>
              <a:t>1</a:t>
            </a:r>
            <a:r>
              <a:rPr lang="ru-RU" sz="1100" baseline="0">
                <a:latin typeface="Times New Roman" panose="02020603050405020304" pitchFamily="18" charset="0"/>
              </a:rPr>
              <a:t>3 по 2017 гг                                        </a:t>
            </a:r>
            <a:endParaRPr lang="en-US" sz="1100" baseline="0">
              <a:latin typeface="Times New Roman" panose="02020603050405020304" pitchFamily="18" charset="0"/>
            </a:endParaRPr>
          </a:p>
          <a:p>
            <a:pPr>
              <a:defRPr sz="1100" b="1" i="0" u="none" strike="noStrike" baseline="0">
                <a:solidFill>
                  <a:srgbClr val="000000"/>
                </a:solidFill>
                <a:latin typeface="Times New Roman" panose="02020603050405020304" pitchFamily="18" charset="0"/>
                <a:ea typeface="Arial Cyr"/>
                <a:cs typeface="Arial Cyr"/>
              </a:defRPr>
            </a:pPr>
            <a:r>
              <a:rPr lang="ru-RU" sz="1100" baseline="0">
                <a:latin typeface="Times New Roman" panose="02020603050405020304" pitchFamily="18" charset="0"/>
              </a:rPr>
              <a:t> (в % от общего количества рассмотренных дел)</a:t>
            </a:r>
          </a:p>
        </c:rich>
      </c:tx>
      <c:layout>
        <c:manualLayout>
          <c:xMode val="edge"/>
          <c:yMode val="edge"/>
          <c:x val="0.19438060671133389"/>
          <c:y val="4.2109112707571826E-3"/>
        </c:manualLayout>
      </c:layout>
      <c:overlay val="0"/>
      <c:spPr>
        <a:noFill/>
        <a:ln w="25400">
          <a:noFill/>
        </a:ln>
      </c:spPr>
    </c:title>
    <c:autoTitleDeleted val="0"/>
    <c:plotArea>
      <c:layout>
        <c:manualLayout>
          <c:layoutTarget val="inner"/>
          <c:xMode val="edge"/>
          <c:yMode val="edge"/>
          <c:x val="9.3992138400368172E-2"/>
          <c:y val="0.16449520893488226"/>
          <c:w val="0.68612439201749675"/>
          <c:h val="0.72868445310747465"/>
        </c:manualLayout>
      </c:layout>
      <c:barChart>
        <c:barDir val="col"/>
        <c:grouping val="clustered"/>
        <c:varyColors val="0"/>
        <c:ser>
          <c:idx val="0"/>
          <c:order val="0"/>
          <c:tx>
            <c:strRef>
              <c:f>'Результаты УД -2017 '!$Y$17</c:f>
              <c:strCache>
                <c:ptCount val="1"/>
                <c:pt idx="0">
                  <c:v>Уд. вес дел, рассм-х с обвинит приговор</c:v>
                </c:pt>
              </c:strCache>
            </c:strRef>
          </c:tx>
          <c:spPr>
            <a:gradFill>
              <a:gsLst>
                <a:gs pos="38000">
                  <a:srgbClr val="3A0AE8"/>
                </a:gs>
                <a:gs pos="2000">
                  <a:schemeClr val="accent4">
                    <a:lumMod val="20000"/>
                    <a:lumOff val="80000"/>
                  </a:schemeClr>
                </a:gs>
                <a:gs pos="2000">
                  <a:schemeClr val="accent4">
                    <a:lumMod val="40000"/>
                    <a:lumOff val="60000"/>
                  </a:schemeClr>
                </a:gs>
              </a:gsLst>
              <a:lin ang="13500000" scaled="0"/>
            </a:gradFill>
            <a:ln w="38100">
              <a:noFill/>
              <a:prstDash val="solid"/>
            </a:ln>
          </c:spPr>
          <c:invertIfNegative val="0"/>
          <c:dLbls>
            <c:txPr>
              <a:bodyPr rot="-5400000" vert="horz"/>
              <a:lstStyle/>
              <a:p>
                <a:pPr>
                  <a:defRPr sz="1000" b="1" i="0" baseline="0">
                    <a:solidFill>
                      <a:srgbClr val="FFFF00"/>
                    </a:solidFill>
                    <a:latin typeface="Calibri" panose="020F0502020204030204" pitchFamily="34" charset="0"/>
                  </a:defRPr>
                </a:pPr>
                <a:endParaRPr lang="ru-RU"/>
              </a:p>
            </c:txPr>
            <c:dLblPos val="inEnd"/>
            <c:showLegendKey val="0"/>
            <c:showVal val="1"/>
            <c:showCatName val="0"/>
            <c:showSerName val="0"/>
            <c:showPercent val="0"/>
            <c:showBubbleSize val="0"/>
            <c:showLeaderLines val="0"/>
          </c:dLbls>
          <c:trendline>
            <c:spPr>
              <a:ln>
                <a:solidFill>
                  <a:srgbClr val="0070C0"/>
                </a:solidFill>
              </a:ln>
            </c:spPr>
            <c:trendlineType val="linear"/>
            <c:dispRSqr val="0"/>
            <c:dispEq val="0"/>
          </c:trendline>
          <c:cat>
            <c:numRef>
              <c:f>'Результаты УД -2017 '!$Z$16:$AD$16</c:f>
              <c:numCache>
                <c:formatCode>General</c:formatCode>
                <c:ptCount val="5"/>
                <c:pt idx="0">
                  <c:v>2013</c:v>
                </c:pt>
                <c:pt idx="1">
                  <c:v>2014</c:v>
                </c:pt>
                <c:pt idx="2">
                  <c:v>2015</c:v>
                </c:pt>
                <c:pt idx="3">
                  <c:v>2016</c:v>
                </c:pt>
                <c:pt idx="4">
                  <c:v>2017</c:v>
                </c:pt>
              </c:numCache>
            </c:numRef>
          </c:cat>
          <c:val>
            <c:numRef>
              <c:f>'Результаты УД -2017 '!$Z$17:$AD$17</c:f>
              <c:numCache>
                <c:formatCode>0.0</c:formatCode>
                <c:ptCount val="5"/>
                <c:pt idx="0">
                  <c:v>85</c:v>
                </c:pt>
                <c:pt idx="1">
                  <c:v>86.3</c:v>
                </c:pt>
                <c:pt idx="2">
                  <c:v>84.7</c:v>
                </c:pt>
                <c:pt idx="3">
                  <c:v>84.2</c:v>
                </c:pt>
                <c:pt idx="4">
                  <c:v>80.099999999999994</c:v>
                </c:pt>
              </c:numCache>
            </c:numRef>
          </c:val>
        </c:ser>
        <c:ser>
          <c:idx val="1"/>
          <c:order val="1"/>
          <c:tx>
            <c:strRef>
              <c:f>'Результаты УД -2017 '!$Y$18</c:f>
              <c:strCache>
                <c:ptCount val="1"/>
                <c:pt idx="0">
                  <c:v>Уд. вес дел, рассмотр которых было прекращено</c:v>
                </c:pt>
              </c:strCache>
            </c:strRef>
          </c:tx>
          <c:spPr>
            <a:gradFill>
              <a:gsLst>
                <a:gs pos="42000">
                  <a:srgbClr val="A81E98"/>
                </a:gs>
                <a:gs pos="100000">
                  <a:srgbClr val="FFFF00"/>
                </a:gs>
                <a:gs pos="85000">
                  <a:srgbClr val="FFFF00"/>
                </a:gs>
              </a:gsLst>
              <a:lin ang="13500000" scaled="0"/>
            </a:gradFill>
            <a:ln w="38100">
              <a:noFill/>
              <a:prstDash val="solid"/>
            </a:ln>
          </c:spPr>
          <c:invertIfNegative val="0"/>
          <c:dLbls>
            <c:dLbl>
              <c:idx val="0"/>
              <c:layout>
                <c:manualLayout>
                  <c:x val="5.7142857142857143E-3"/>
                  <c:y val="-1.4457664543021683E-2"/>
                </c:manualLayout>
              </c:layout>
              <c:showLegendKey val="0"/>
              <c:showVal val="1"/>
              <c:showCatName val="0"/>
              <c:showSerName val="0"/>
              <c:showPercent val="0"/>
              <c:showBubbleSize val="0"/>
            </c:dLbl>
            <c:dLbl>
              <c:idx val="1"/>
              <c:layout>
                <c:manualLayout>
                  <c:x val="0"/>
                  <c:y val="-3.1806861994647703E-2"/>
                </c:manualLayout>
              </c:layout>
              <c:showLegendKey val="0"/>
              <c:showVal val="1"/>
              <c:showCatName val="0"/>
              <c:showSerName val="0"/>
              <c:showPercent val="0"/>
              <c:showBubbleSize val="0"/>
            </c:dLbl>
            <c:txPr>
              <a:bodyPr rot="-5400000" vert="horz" anchor="ctr" anchorCtr="0"/>
              <a:lstStyle/>
              <a:p>
                <a:pPr>
                  <a:defRPr sz="1000" b="1" i="0" baseline="0">
                    <a:solidFill>
                      <a:schemeClr val="accent6">
                        <a:lumMod val="50000"/>
                      </a:schemeClr>
                    </a:solidFill>
                    <a:latin typeface="Calibri" panose="020F0502020204030204" pitchFamily="34" charset="0"/>
                  </a:defRPr>
                </a:pPr>
                <a:endParaRPr lang="ru-RU"/>
              </a:p>
            </c:txPr>
            <c:showLegendKey val="0"/>
            <c:showVal val="1"/>
            <c:showCatName val="0"/>
            <c:showSerName val="0"/>
            <c:showPercent val="0"/>
            <c:showBubbleSize val="0"/>
            <c:showLeaderLines val="0"/>
          </c:dLbls>
          <c:trendline>
            <c:spPr>
              <a:ln>
                <a:solidFill>
                  <a:srgbClr val="A42C96"/>
                </a:solidFill>
              </a:ln>
            </c:spPr>
            <c:trendlineType val="linear"/>
            <c:dispRSqr val="0"/>
            <c:dispEq val="0"/>
          </c:trendline>
          <c:cat>
            <c:numRef>
              <c:f>'Результаты УД -2017 '!$Z$16:$AD$16</c:f>
              <c:numCache>
                <c:formatCode>General</c:formatCode>
                <c:ptCount val="5"/>
                <c:pt idx="0">
                  <c:v>2013</c:v>
                </c:pt>
                <c:pt idx="1">
                  <c:v>2014</c:v>
                </c:pt>
                <c:pt idx="2">
                  <c:v>2015</c:v>
                </c:pt>
                <c:pt idx="3">
                  <c:v>2016</c:v>
                </c:pt>
                <c:pt idx="4">
                  <c:v>2017</c:v>
                </c:pt>
              </c:numCache>
            </c:numRef>
          </c:cat>
          <c:val>
            <c:numRef>
              <c:f>'Результаты УД -2017 '!$Z$18:$AD$18</c:f>
              <c:numCache>
                <c:formatCode>0.0</c:formatCode>
                <c:ptCount val="5"/>
                <c:pt idx="0">
                  <c:v>10.199999999999999</c:v>
                </c:pt>
                <c:pt idx="1">
                  <c:v>9.8000000000000007</c:v>
                </c:pt>
                <c:pt idx="2">
                  <c:v>11.5</c:v>
                </c:pt>
                <c:pt idx="3">
                  <c:v>12.3</c:v>
                </c:pt>
                <c:pt idx="4">
                  <c:v>15.7</c:v>
                </c:pt>
              </c:numCache>
            </c:numRef>
          </c:val>
        </c:ser>
        <c:dLbls>
          <c:showLegendKey val="0"/>
          <c:showVal val="1"/>
          <c:showCatName val="0"/>
          <c:showSerName val="0"/>
          <c:showPercent val="0"/>
          <c:showBubbleSize val="0"/>
        </c:dLbls>
        <c:gapWidth val="150"/>
        <c:axId val="156022656"/>
        <c:axId val="156024192"/>
      </c:barChart>
      <c:catAx>
        <c:axId val="1560226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ysClr val="windowText" lastClr="000000"/>
                </a:solidFill>
                <a:latin typeface="Calibri" panose="020F0502020204030204" pitchFamily="34" charset="0"/>
                <a:ea typeface="Arial Cyr"/>
                <a:cs typeface="Arial Cyr"/>
              </a:defRPr>
            </a:pPr>
            <a:endParaRPr lang="ru-RU"/>
          </a:p>
        </c:txPr>
        <c:crossAx val="156024192"/>
        <c:crosses val="autoZero"/>
        <c:auto val="1"/>
        <c:lblAlgn val="ctr"/>
        <c:lblOffset val="100"/>
        <c:noMultiLvlLbl val="0"/>
      </c:catAx>
      <c:valAx>
        <c:axId val="156024192"/>
        <c:scaling>
          <c:orientation val="minMax"/>
        </c:scaling>
        <c:delete val="0"/>
        <c:axPos val="l"/>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6022656"/>
        <c:crosses val="autoZero"/>
        <c:crossBetween val="between"/>
      </c:valAx>
      <c:spPr>
        <a:noFill/>
        <a:ln w="12700">
          <a:noFill/>
          <a:prstDash val="solid"/>
        </a:ln>
      </c:spPr>
    </c:plotArea>
    <c:legend>
      <c:legendPos val="r"/>
      <c:legendEntry>
        <c:idx val="0"/>
        <c:txPr>
          <a:bodyPr/>
          <a:lstStyle/>
          <a:p>
            <a:pPr>
              <a:defRPr sz="1000" b="0" i="1" baseline="0">
                <a:solidFill>
                  <a:sysClr val="windowText" lastClr="000000"/>
                </a:solidFill>
                <a:latin typeface="Calibri" panose="020F0502020204030204" pitchFamily="34" charset="0"/>
              </a:defRPr>
            </a:pPr>
            <a:endParaRPr lang="ru-RU"/>
          </a:p>
        </c:txPr>
      </c:legendEntry>
      <c:legendEntry>
        <c:idx val="1"/>
        <c:txPr>
          <a:bodyPr/>
          <a:lstStyle/>
          <a:p>
            <a:pPr>
              <a:defRPr sz="1000" b="0" i="1" baseline="0">
                <a:solidFill>
                  <a:sysClr val="windowText" lastClr="000000"/>
                </a:solidFill>
                <a:latin typeface="Calibri" panose="020F0502020204030204" pitchFamily="34" charset="0"/>
              </a:defRPr>
            </a:pPr>
            <a:endParaRPr lang="ru-RU"/>
          </a:p>
        </c:txPr>
      </c:legendEntry>
      <c:legendEntry>
        <c:idx val="2"/>
        <c:delete val="1"/>
      </c:legendEntry>
      <c:legendEntry>
        <c:idx val="3"/>
        <c:delete val="1"/>
      </c:legendEntry>
      <c:layout>
        <c:manualLayout>
          <c:xMode val="edge"/>
          <c:yMode val="edge"/>
          <c:x val="0.767980084366788"/>
          <c:y val="0.31894737028404152"/>
          <c:w val="0.22316551565833384"/>
          <c:h val="0.48688905420413098"/>
        </c:manualLayout>
      </c:layout>
      <c:overlay val="1"/>
      <c:spPr>
        <a:noFill/>
      </c:spPr>
      <c:txPr>
        <a:bodyPr/>
        <a:lstStyle/>
        <a:p>
          <a:pPr>
            <a:defRPr sz="1000" b="0" i="1" baseline="0">
              <a:solidFill>
                <a:sysClr val="windowText" lastClr="000000"/>
              </a:solidFill>
              <a:latin typeface="Calibri" panose="020F0502020204030204" pitchFamily="34" charset="0"/>
            </a:defRPr>
          </a:pPr>
          <a:endParaRPr lang="ru-RU"/>
        </a:p>
      </c:txPr>
    </c:legend>
    <c:plotVisOnly val="1"/>
    <c:dispBlanksAs val="gap"/>
    <c:showDLblsOverMax val="0"/>
  </c:chart>
  <c:spPr>
    <a:gradFill flip="none" rotWithShape="1">
      <a:gsLst>
        <a:gs pos="68000">
          <a:schemeClr val="accent6">
            <a:lumMod val="20000"/>
            <a:lumOff val="80000"/>
          </a:schemeClr>
        </a:gs>
        <a:gs pos="0">
          <a:schemeClr val="accent6">
            <a:lumMod val="40000"/>
            <a:lumOff val="60000"/>
          </a:schemeClr>
        </a:gs>
        <a:gs pos="30000">
          <a:schemeClr val="accent6">
            <a:lumMod val="60000"/>
            <a:lumOff val="40000"/>
          </a:schemeClr>
        </a:gs>
        <a:gs pos="0">
          <a:schemeClr val="accent6">
            <a:lumMod val="60000"/>
            <a:lumOff val="40000"/>
          </a:schemeClr>
        </a:gs>
      </a:gsLst>
      <a:lin ang="17400000" scaled="0"/>
      <a:tileRect/>
    </a:gra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100">
                <a:latin typeface="Times New Roman" panose="02020603050405020304" pitchFamily="18" charset="0"/>
                <a:cs typeface="Times New Roman" panose="02020603050405020304" pitchFamily="18" charset="0"/>
              </a:rPr>
              <a:t>Кол-во рассмотренных  по существу уголовных дел   с участием присяжных заседателей</a:t>
            </a:r>
          </a:p>
        </c:rich>
      </c:tx>
      <c:layout>
        <c:manualLayout>
          <c:xMode val="edge"/>
          <c:yMode val="edge"/>
          <c:x val="0.1396118154830189"/>
          <c:y val="3.0507894502167943E-2"/>
        </c:manualLayout>
      </c:layout>
      <c:overlay val="0"/>
      <c:spPr>
        <a:noFill/>
        <a:ln>
          <a:noFill/>
        </a:ln>
        <a:effectLst/>
      </c:spPr>
    </c:title>
    <c:autoTitleDeleted val="0"/>
    <c:plotArea>
      <c:layout>
        <c:manualLayout>
          <c:layoutTarget val="inner"/>
          <c:xMode val="edge"/>
          <c:yMode val="edge"/>
          <c:x val="6.4489381034730772E-2"/>
          <c:y val="0.21181512090603"/>
          <c:w val="0.90591492328528744"/>
          <c:h val="0.67357886576224657"/>
        </c:manualLayout>
      </c:layout>
      <c:barChart>
        <c:barDir val="col"/>
        <c:grouping val="clustered"/>
        <c:varyColors val="0"/>
        <c:ser>
          <c:idx val="0"/>
          <c:order val="0"/>
          <c:tx>
            <c:strRef>
              <c:f>Лист1!$A$27</c:f>
              <c:strCache>
                <c:ptCount val="1"/>
                <c:pt idx="0">
                  <c:v>Кол-во рассмотренных уголовных дел с участием присяжных заседателей</c:v>
                </c:pt>
              </c:strCache>
            </c:strRef>
          </c:tx>
          <c:spPr>
            <a:gradFill flip="none" rotWithShape="1">
              <a:gsLst>
                <a:gs pos="0">
                  <a:schemeClr val="accent1">
                    <a:lumMod val="75000"/>
                  </a:schemeClr>
                </a:gs>
                <a:gs pos="74000">
                  <a:schemeClr val="accent1">
                    <a:lumMod val="45000"/>
                    <a:lumOff val="55000"/>
                  </a:schemeClr>
                </a:gs>
                <a:gs pos="100000">
                  <a:schemeClr val="accent1">
                    <a:lumMod val="30000"/>
                    <a:lumOff val="70000"/>
                  </a:schemeClr>
                </a:gs>
              </a:gsLst>
              <a:lin ang="0" scaled="1"/>
              <a:tileRect/>
            </a:grad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Лист1!$B$26:$F$26</c:f>
              <c:numCache>
                <c:formatCode>General</c:formatCode>
                <c:ptCount val="5"/>
                <c:pt idx="0">
                  <c:v>2013</c:v>
                </c:pt>
                <c:pt idx="1">
                  <c:v>2014</c:v>
                </c:pt>
                <c:pt idx="2">
                  <c:v>2015</c:v>
                </c:pt>
                <c:pt idx="3">
                  <c:v>2016</c:v>
                </c:pt>
                <c:pt idx="4">
                  <c:v>2017</c:v>
                </c:pt>
              </c:numCache>
            </c:numRef>
          </c:cat>
          <c:val>
            <c:numRef>
              <c:f>Лист1!$B$27:$F$27</c:f>
              <c:numCache>
                <c:formatCode>General</c:formatCode>
                <c:ptCount val="5"/>
                <c:pt idx="0">
                  <c:v>20</c:v>
                </c:pt>
                <c:pt idx="1">
                  <c:v>13</c:v>
                </c:pt>
                <c:pt idx="2">
                  <c:v>8</c:v>
                </c:pt>
                <c:pt idx="3">
                  <c:v>4</c:v>
                </c:pt>
                <c:pt idx="4">
                  <c:v>2</c:v>
                </c:pt>
              </c:numCache>
            </c:numRef>
          </c:val>
        </c:ser>
        <c:dLbls>
          <c:dLblPos val="outEnd"/>
          <c:showLegendKey val="0"/>
          <c:showVal val="1"/>
          <c:showCatName val="0"/>
          <c:showSerName val="0"/>
          <c:showPercent val="0"/>
          <c:showBubbleSize val="0"/>
        </c:dLbls>
        <c:gapWidth val="174"/>
        <c:overlap val="-27"/>
        <c:axId val="468146432"/>
        <c:axId val="468162048"/>
      </c:barChart>
      <c:catAx>
        <c:axId val="46814643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68162048"/>
        <c:crosses val="autoZero"/>
        <c:auto val="1"/>
        <c:lblAlgn val="ctr"/>
        <c:lblOffset val="100"/>
        <c:noMultiLvlLbl val="0"/>
      </c:catAx>
      <c:valAx>
        <c:axId val="468162048"/>
        <c:scaling>
          <c:orientation val="minMax"/>
        </c:scaling>
        <c:delete val="0"/>
        <c:axPos val="l"/>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68146432"/>
        <c:crosses val="autoZero"/>
        <c:crossBetween val="between"/>
      </c:valAx>
      <c:spPr>
        <a:noFill/>
        <a:ln>
          <a:solidFill>
            <a:schemeClr val="bg1"/>
          </a:solidFill>
        </a:ln>
        <a:effectLst/>
      </c:spPr>
    </c:plotArea>
    <c:plotVisOnly val="1"/>
    <c:dispBlanksAs val="gap"/>
    <c:showDLblsOverMax val="0"/>
  </c:chart>
  <c:spPr>
    <a:gradFill flip="none" rotWithShape="1">
      <a:gsLst>
        <a:gs pos="0">
          <a:schemeClr val="accent1">
            <a:lumMod val="5000"/>
            <a:lumOff val="95000"/>
          </a:schemeClr>
        </a:gs>
        <a:gs pos="74000">
          <a:srgbClr val="DDBBC5"/>
        </a:gs>
        <a:gs pos="100000">
          <a:schemeClr val="accent2">
            <a:lumMod val="20000"/>
            <a:lumOff val="80000"/>
          </a:schemeClr>
        </a:gs>
      </a:gsLst>
      <a:lin ang="18900000" scaled="1"/>
      <a:tileRect/>
    </a:gradFill>
    <a:ln w="9525" cap="flat" cmpd="sng" algn="ctr">
      <a:solidFill>
        <a:schemeClr val="bg1"/>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panose="02020603050405020304" pitchFamily="18" charset="0"/>
                <a:ea typeface="Arial Cyr"/>
                <a:cs typeface="Arial Cyr"/>
              </a:defRPr>
            </a:pPr>
            <a:r>
              <a:rPr lang="ru-RU" sz="1100" baseline="0">
                <a:latin typeface="Times New Roman" panose="02020603050405020304" pitchFamily="18" charset="0"/>
              </a:rPr>
              <a:t>Динамика изменения  удельного веса  наиболее часто применяемых мер наказания  
за период 20</a:t>
            </a:r>
            <a:r>
              <a:rPr lang="en-US" sz="1100" baseline="0">
                <a:latin typeface="Times New Roman" panose="02020603050405020304" pitchFamily="18" charset="0"/>
              </a:rPr>
              <a:t>1</a:t>
            </a:r>
            <a:r>
              <a:rPr lang="ru-RU" sz="1100" baseline="0">
                <a:latin typeface="Times New Roman" panose="02020603050405020304" pitchFamily="18" charset="0"/>
              </a:rPr>
              <a:t>3 - 2017 гг</a:t>
            </a:r>
          </a:p>
        </c:rich>
      </c:tx>
      <c:layout>
        <c:manualLayout>
          <c:xMode val="edge"/>
          <c:yMode val="edge"/>
          <c:x val="0.11967960549984531"/>
          <c:y val="2.8776337830594724E-2"/>
        </c:manualLayout>
      </c:layout>
      <c:overlay val="0"/>
      <c:spPr>
        <a:noFill/>
        <a:ln w="25400">
          <a:noFill/>
        </a:ln>
      </c:spPr>
    </c:title>
    <c:autoTitleDeleted val="0"/>
    <c:plotArea>
      <c:layout>
        <c:manualLayout>
          <c:layoutTarget val="inner"/>
          <c:xMode val="edge"/>
          <c:yMode val="edge"/>
          <c:x val="7.6672474084285111E-2"/>
          <c:y val="0.24359622694524899"/>
          <c:w val="0.69626383480536058"/>
          <c:h val="0.6560328373815244"/>
        </c:manualLayout>
      </c:layout>
      <c:lineChart>
        <c:grouping val="standard"/>
        <c:varyColors val="0"/>
        <c:ser>
          <c:idx val="0"/>
          <c:order val="0"/>
          <c:tx>
            <c:strRef>
              <c:f>'Меры наказания-2017'!$A$48</c:f>
              <c:strCache>
                <c:ptCount val="1"/>
                <c:pt idx="0">
                  <c:v>Условные меры</c:v>
                </c:pt>
              </c:strCache>
            </c:strRef>
          </c:tx>
          <c:spPr>
            <a:ln w="38100">
              <a:solidFill>
                <a:srgbClr val="000080"/>
              </a:solidFill>
              <a:prstDash val="solid"/>
            </a:ln>
          </c:spPr>
          <c:marker>
            <c:symbol val="diamond"/>
            <c:size val="6"/>
            <c:spPr>
              <a:solidFill>
                <a:srgbClr val="FFFF00"/>
              </a:solidFill>
              <a:ln>
                <a:solidFill>
                  <a:srgbClr val="000080"/>
                </a:solidFill>
                <a:prstDash val="solid"/>
              </a:ln>
            </c:spPr>
          </c:marker>
          <c:dLbls>
            <c:dLbl>
              <c:idx val="0"/>
              <c:layout>
                <c:manualLayout>
                  <c:x val="-5.3343566460557379E-2"/>
                  <c:y val="2.4465171890880294E-2"/>
                </c:manualLayout>
              </c:layout>
              <c:tx>
                <c:rich>
                  <a:bodyPr/>
                  <a:lstStyle/>
                  <a:p>
                    <a:r>
                      <a:rPr lang="en-US" sz="1000" baseline="0">
                        <a:latin typeface="Calibri" panose="020F0502020204030204" pitchFamily="34" charset="0"/>
                      </a:rPr>
                      <a:t>42,3</a:t>
                    </a:r>
                    <a:r>
                      <a:rPr lang="ru-RU" sz="1000" baseline="0">
                        <a:latin typeface="Calibri" panose="020F0502020204030204" pitchFamily="34" charset="0"/>
                      </a:rPr>
                      <a:t>  </a:t>
                    </a:r>
                  </a:p>
                  <a:p>
                    <a:r>
                      <a:rPr lang="ru-RU" sz="1000" baseline="0">
                        <a:latin typeface="Calibri" panose="020F0502020204030204" pitchFamily="34" charset="0"/>
                      </a:rPr>
                      <a:t> </a:t>
                    </a:r>
                    <a:endParaRPr lang="en-US"/>
                  </a:p>
                </c:rich>
              </c:tx>
              <c:dLblPos val="r"/>
              <c:showLegendKey val="0"/>
              <c:showVal val="1"/>
              <c:showCatName val="0"/>
              <c:showSerName val="0"/>
              <c:showPercent val="0"/>
              <c:showBubbleSize val="0"/>
            </c:dLbl>
            <c:dLbl>
              <c:idx val="1"/>
              <c:layout>
                <c:manualLayout>
                  <c:x val="-1.8015735947854387E-2"/>
                  <c:y val="-3.4396436595959451E-2"/>
                </c:manualLayout>
              </c:layout>
              <c:dLblPos val="r"/>
              <c:showLegendKey val="0"/>
              <c:showVal val="1"/>
              <c:showCatName val="0"/>
              <c:showSerName val="0"/>
              <c:showPercent val="0"/>
              <c:showBubbleSize val="0"/>
            </c:dLbl>
            <c:dLbl>
              <c:idx val="2"/>
              <c:layout>
                <c:manualLayout>
                  <c:x val="-2.2432427212367746E-2"/>
                  <c:y val="3.0749428905805568E-2"/>
                </c:manualLayout>
              </c:layout>
              <c:dLblPos val="r"/>
              <c:showLegendKey val="0"/>
              <c:showVal val="1"/>
              <c:showCatName val="0"/>
              <c:showSerName val="0"/>
              <c:showPercent val="0"/>
              <c:showBubbleSize val="0"/>
            </c:dLbl>
            <c:dLbl>
              <c:idx val="3"/>
              <c:layout>
                <c:manualLayout>
                  <c:x val="4.2330543083040004E-3"/>
                  <c:y val="-5.0995100582659242E-2"/>
                </c:manualLayout>
              </c:layout>
              <c:dLblPos val="r"/>
              <c:showLegendKey val="0"/>
              <c:showVal val="1"/>
              <c:showCatName val="0"/>
              <c:showSerName val="0"/>
              <c:showPercent val="0"/>
              <c:showBubbleSize val="0"/>
            </c:dLbl>
            <c:dLbl>
              <c:idx val="4"/>
              <c:layout>
                <c:manualLayout>
                  <c:x val="-2.5096275415794619E-2"/>
                  <c:y val="-4.1051004148596686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00008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'Меры наказания-2017'!$B$47:$F$47</c:f>
              <c:numCache>
                <c:formatCode>0</c:formatCode>
                <c:ptCount val="5"/>
                <c:pt idx="0" formatCode="General">
                  <c:v>2013</c:v>
                </c:pt>
                <c:pt idx="1">
                  <c:v>2014</c:v>
                </c:pt>
                <c:pt idx="2">
                  <c:v>2015</c:v>
                </c:pt>
                <c:pt idx="3">
                  <c:v>2016</c:v>
                </c:pt>
                <c:pt idx="4">
                  <c:v>2017</c:v>
                </c:pt>
              </c:numCache>
            </c:numRef>
          </c:cat>
          <c:val>
            <c:numRef>
              <c:f>'Меры наказания-2017'!$B$48:$F$48</c:f>
              <c:numCache>
                <c:formatCode>0.0</c:formatCode>
                <c:ptCount val="5"/>
                <c:pt idx="0">
                  <c:v>42.3</c:v>
                </c:pt>
                <c:pt idx="1">
                  <c:v>42.1</c:v>
                </c:pt>
                <c:pt idx="2">
                  <c:v>33.799999999999997</c:v>
                </c:pt>
                <c:pt idx="3">
                  <c:v>39.799999999999997</c:v>
                </c:pt>
                <c:pt idx="4">
                  <c:v>41.7</c:v>
                </c:pt>
              </c:numCache>
            </c:numRef>
          </c:val>
          <c:smooth val="0"/>
        </c:ser>
        <c:ser>
          <c:idx val="1"/>
          <c:order val="1"/>
          <c:tx>
            <c:strRef>
              <c:f>'Меры наказания-2017'!$A$49</c:f>
              <c:strCache>
                <c:ptCount val="1"/>
                <c:pt idx="0">
                  <c:v>Реальное лишение свободы</c:v>
                </c:pt>
              </c:strCache>
            </c:strRef>
          </c:tx>
          <c:spPr>
            <a:ln w="38100">
              <a:solidFill>
                <a:srgbClr val="3366FF"/>
              </a:solidFill>
              <a:prstDash val="solid"/>
            </a:ln>
          </c:spPr>
          <c:marker>
            <c:symbol val="diamond"/>
            <c:size val="6"/>
            <c:spPr>
              <a:solidFill>
                <a:srgbClr val="FF6600"/>
              </a:solidFill>
              <a:ln>
                <a:solidFill>
                  <a:srgbClr val="FF6600"/>
                </a:solidFill>
                <a:prstDash val="solid"/>
              </a:ln>
            </c:spPr>
          </c:marker>
          <c:dLbls>
            <c:dLbl>
              <c:idx val="0"/>
              <c:layout>
                <c:manualLayout>
                  <c:x val="-4.6111947725021585E-2"/>
                  <c:y val="3.1786495822614176E-2"/>
                </c:manualLayout>
              </c:layout>
              <c:tx>
                <c:rich>
                  <a:bodyPr/>
                  <a:lstStyle/>
                  <a:p>
                    <a:r>
                      <a:rPr lang="en-US" sz="1000" baseline="0">
                        <a:solidFill>
                          <a:srgbClr val="FF0000"/>
                        </a:solidFill>
                        <a:latin typeface="Calibri" panose="020F0502020204030204" pitchFamily="34" charset="0"/>
                      </a:rPr>
                      <a:t>3</a:t>
                    </a:r>
                    <a:r>
                      <a:rPr lang="ru-RU" sz="1000" baseline="0">
                        <a:solidFill>
                          <a:srgbClr val="FF0000"/>
                        </a:solidFill>
                        <a:latin typeface="Calibri" panose="020F0502020204030204" pitchFamily="34" charset="0"/>
                      </a:rPr>
                      <a:t>3,2</a:t>
                    </a:r>
                    <a:endParaRPr lang="ru-RU" sz="1200" baseline="0">
                      <a:solidFill>
                        <a:srgbClr val="FF0000"/>
                      </a:solidFill>
                    </a:endParaRPr>
                  </a:p>
                </c:rich>
              </c:tx>
              <c:dLblPos val="r"/>
              <c:showLegendKey val="0"/>
              <c:showVal val="0"/>
              <c:showCatName val="0"/>
              <c:showSerName val="0"/>
              <c:showPercent val="0"/>
              <c:showBubbleSize val="0"/>
            </c:dLbl>
            <c:dLbl>
              <c:idx val="1"/>
              <c:layout>
                <c:manualLayout>
                  <c:x val="-2.8931635646384554E-2"/>
                  <c:y val="4.9036612504432142E-2"/>
                </c:manualLayout>
              </c:layout>
              <c:dLblPos val="r"/>
              <c:showLegendKey val="0"/>
              <c:showVal val="1"/>
              <c:showCatName val="0"/>
              <c:showSerName val="0"/>
              <c:showPercent val="0"/>
              <c:showBubbleSize val="0"/>
            </c:dLbl>
            <c:dLbl>
              <c:idx val="2"/>
              <c:layout>
                <c:manualLayout>
                  <c:x val="-2.7178370640657364E-2"/>
                  <c:y val="-4.7060695065147345E-2"/>
                </c:manualLayout>
              </c:layout>
              <c:dLblPos val="r"/>
              <c:showLegendKey val="0"/>
              <c:showVal val="1"/>
              <c:showCatName val="0"/>
              <c:showSerName val="0"/>
              <c:showPercent val="0"/>
              <c:showBubbleSize val="0"/>
            </c:dLbl>
            <c:dLbl>
              <c:idx val="3"/>
              <c:layout>
                <c:manualLayout>
                  <c:x val="-2.1942088225220521E-2"/>
                  <c:y val="3.1657849514088746E-2"/>
                </c:manualLayout>
              </c:layout>
              <c:dLblPos val="r"/>
              <c:showLegendKey val="0"/>
              <c:showVal val="1"/>
              <c:showCatName val="0"/>
              <c:showSerName val="0"/>
              <c:showPercent val="0"/>
              <c:showBubbleSize val="0"/>
            </c:dLbl>
            <c:dLbl>
              <c:idx val="4"/>
              <c:layout>
                <c:manualLayout>
                  <c:x val="-2.3032584335221578E-2"/>
                  <c:y val="3.4243936432272651E-2"/>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FF000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'Меры наказания-2017'!$B$47:$F$47</c:f>
              <c:numCache>
                <c:formatCode>0</c:formatCode>
                <c:ptCount val="5"/>
                <c:pt idx="0" formatCode="General">
                  <c:v>2013</c:v>
                </c:pt>
                <c:pt idx="1">
                  <c:v>2014</c:v>
                </c:pt>
                <c:pt idx="2">
                  <c:v>2015</c:v>
                </c:pt>
                <c:pt idx="3">
                  <c:v>2016</c:v>
                </c:pt>
                <c:pt idx="4">
                  <c:v>2017</c:v>
                </c:pt>
              </c:numCache>
            </c:numRef>
          </c:cat>
          <c:val>
            <c:numRef>
              <c:f>'Меры наказания-2017'!$B$49:$F$49</c:f>
              <c:numCache>
                <c:formatCode>0.0</c:formatCode>
                <c:ptCount val="5"/>
                <c:pt idx="0">
                  <c:v>33.799999999999997</c:v>
                </c:pt>
                <c:pt idx="1">
                  <c:v>37</c:v>
                </c:pt>
                <c:pt idx="2">
                  <c:v>39.299999999999997</c:v>
                </c:pt>
                <c:pt idx="3">
                  <c:v>38.9</c:v>
                </c:pt>
                <c:pt idx="4">
                  <c:v>40.4</c:v>
                </c:pt>
              </c:numCache>
            </c:numRef>
          </c:val>
          <c:smooth val="0"/>
        </c:ser>
        <c:ser>
          <c:idx val="2"/>
          <c:order val="2"/>
          <c:tx>
            <c:strRef>
              <c:f>'Меры наказания-2017'!$A$50</c:f>
              <c:strCache>
                <c:ptCount val="1"/>
                <c:pt idx="0">
                  <c:v>Штраф</c:v>
                </c:pt>
              </c:strCache>
            </c:strRef>
          </c:tx>
          <c:spPr>
            <a:ln w="38100">
              <a:solidFill>
                <a:srgbClr val="00FF00"/>
              </a:solidFill>
              <a:prstDash val="solid"/>
            </a:ln>
          </c:spPr>
          <c:marker>
            <c:symbol val="triangle"/>
            <c:size val="6"/>
            <c:spPr>
              <a:solidFill>
                <a:srgbClr val="008000"/>
              </a:solidFill>
              <a:ln>
                <a:solidFill>
                  <a:srgbClr val="008000"/>
                </a:solidFill>
                <a:prstDash val="solid"/>
              </a:ln>
            </c:spPr>
          </c:marker>
          <c:dLbls>
            <c:dLbl>
              <c:idx val="0"/>
              <c:layout>
                <c:manualLayout>
                  <c:x val="-4.5492011650419217E-2"/>
                  <c:y val="-4.578969585841141E-2"/>
                </c:manualLayout>
              </c:layout>
              <c:tx>
                <c:rich>
                  <a:bodyPr/>
                  <a:lstStyle/>
                  <a:p>
                    <a:r>
                      <a:rPr lang="ru-RU" sz="1000" baseline="0">
                        <a:latin typeface="Calibri" panose="020F0502020204030204" pitchFamily="34" charset="0"/>
                      </a:rPr>
                      <a:t>11,7</a:t>
                    </a:r>
                    <a:endParaRPr lang="ru-RU"/>
                  </a:p>
                </c:rich>
              </c:tx>
              <c:dLblPos val="r"/>
              <c:showLegendKey val="0"/>
              <c:showVal val="0"/>
              <c:showCatName val="0"/>
              <c:showSerName val="0"/>
              <c:showPercent val="0"/>
              <c:showBubbleSize val="0"/>
            </c:dLbl>
            <c:dLbl>
              <c:idx val="1"/>
              <c:layout>
                <c:manualLayout>
                  <c:x val="-3.573435673481988E-2"/>
                  <c:y val="-6.5090826399943721E-2"/>
                </c:manualLayout>
              </c:layout>
              <c:dLblPos val="r"/>
              <c:showLegendKey val="0"/>
              <c:showVal val="1"/>
              <c:showCatName val="0"/>
              <c:showSerName val="0"/>
              <c:showPercent val="0"/>
              <c:showBubbleSize val="0"/>
            </c:dLbl>
            <c:dLbl>
              <c:idx val="2"/>
              <c:layout>
                <c:manualLayout>
                  <c:x val="-3.6214548811650683E-2"/>
                  <c:y val="-7.1872608159534543E-2"/>
                </c:manualLayout>
              </c:layout>
              <c:dLblPos val="r"/>
              <c:showLegendKey val="0"/>
              <c:showVal val="1"/>
              <c:showCatName val="0"/>
              <c:showSerName val="0"/>
              <c:showPercent val="0"/>
              <c:showBubbleSize val="0"/>
            </c:dLbl>
            <c:dLbl>
              <c:idx val="3"/>
              <c:layout>
                <c:manualLayout>
                  <c:x val="-1.9888018199405808E-2"/>
                  <c:y val="-6.4609046606168161E-2"/>
                </c:manualLayout>
              </c:layout>
              <c:dLblPos val="r"/>
              <c:showLegendKey val="0"/>
              <c:showVal val="1"/>
              <c:showCatName val="0"/>
              <c:showSerName val="0"/>
              <c:showPercent val="0"/>
              <c:showBubbleSize val="0"/>
            </c:dLbl>
            <c:dLbl>
              <c:idx val="4"/>
              <c:layout>
                <c:manualLayout>
                  <c:x val="-3.597445277323532E-2"/>
                  <c:y val="-6.1154420236396535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00800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'Меры наказания-2017'!$B$47:$F$47</c:f>
              <c:numCache>
                <c:formatCode>0</c:formatCode>
                <c:ptCount val="5"/>
                <c:pt idx="0" formatCode="General">
                  <c:v>2013</c:v>
                </c:pt>
                <c:pt idx="1">
                  <c:v>2014</c:v>
                </c:pt>
                <c:pt idx="2">
                  <c:v>2015</c:v>
                </c:pt>
                <c:pt idx="3">
                  <c:v>2016</c:v>
                </c:pt>
                <c:pt idx="4">
                  <c:v>2017</c:v>
                </c:pt>
              </c:numCache>
            </c:numRef>
          </c:cat>
          <c:val>
            <c:numRef>
              <c:f>'Меры наказания-2017'!$B$50:$F$50</c:f>
              <c:numCache>
                <c:formatCode>0.0</c:formatCode>
                <c:ptCount val="5"/>
                <c:pt idx="0">
                  <c:v>11.7</c:v>
                </c:pt>
                <c:pt idx="1">
                  <c:v>10.9</c:v>
                </c:pt>
                <c:pt idx="2">
                  <c:v>8.1999999999999993</c:v>
                </c:pt>
                <c:pt idx="3">
                  <c:v>11.2</c:v>
                </c:pt>
                <c:pt idx="4">
                  <c:v>10.6</c:v>
                </c:pt>
              </c:numCache>
            </c:numRef>
          </c:val>
          <c:smooth val="0"/>
        </c:ser>
        <c:ser>
          <c:idx val="3"/>
          <c:order val="3"/>
          <c:tx>
            <c:strRef>
              <c:f>'Меры наказания-2017'!$A$51</c:f>
              <c:strCache>
                <c:ptCount val="1"/>
                <c:pt idx="0">
                  <c:v>Обязательные  и исправит. работы</c:v>
                </c:pt>
              </c:strCache>
            </c:strRef>
          </c:tx>
          <c:spPr>
            <a:ln w="38100">
              <a:solidFill>
                <a:srgbClr val="FF00FF"/>
              </a:solidFill>
              <a:prstDash val="solid"/>
            </a:ln>
          </c:spPr>
          <c:marker>
            <c:symbol val="diamond"/>
            <c:size val="7"/>
            <c:spPr>
              <a:solidFill>
                <a:srgbClr val="660033"/>
              </a:solidFill>
              <a:ln>
                <a:solidFill>
                  <a:srgbClr val="FFFF00"/>
                </a:solidFill>
                <a:prstDash val="solid"/>
              </a:ln>
            </c:spPr>
          </c:marker>
          <c:dLbls>
            <c:dLbl>
              <c:idx val="0"/>
              <c:layout>
                <c:manualLayout>
                  <c:x val="0.1423776912517711"/>
                  <c:y val="5.0916578108395324E-2"/>
                </c:manualLayout>
              </c:layout>
              <c:tx>
                <c:rich>
                  <a:bodyPr/>
                  <a:lstStyle/>
                  <a:p>
                    <a:r>
                      <a:rPr lang="ru-RU" sz="1000" baseline="0">
                        <a:solidFill>
                          <a:srgbClr val="FFFF00"/>
                        </a:solidFill>
                        <a:latin typeface="Calibri" panose="020F0502020204030204" pitchFamily="34" charset="0"/>
                      </a:rPr>
                      <a:t>8,5</a:t>
                    </a:r>
                    <a:endParaRPr lang="en-US"/>
                  </a:p>
                </c:rich>
              </c:tx>
              <c:dLblPos val="r"/>
              <c:showLegendKey val="0"/>
              <c:showVal val="1"/>
              <c:showCatName val="0"/>
              <c:showSerName val="0"/>
              <c:showPercent val="0"/>
              <c:showBubbleSize val="0"/>
            </c:dLbl>
            <c:dLbl>
              <c:idx val="1"/>
              <c:layout>
                <c:manualLayout>
                  <c:x val="-0.18927561937416973"/>
                  <c:y val="2.2056097028928311E-2"/>
                </c:manualLayout>
              </c:layout>
              <c:tx>
                <c:rich>
                  <a:bodyPr/>
                  <a:lstStyle/>
                  <a:p>
                    <a:r>
                      <a:rPr lang="en-US" sz="1000" baseline="0">
                        <a:solidFill>
                          <a:srgbClr val="FFFF00"/>
                        </a:solidFill>
                        <a:latin typeface="Calibri" panose="020F0502020204030204" pitchFamily="34" charset="0"/>
                      </a:rPr>
                      <a:t>9,1</a:t>
                    </a:r>
                    <a:endParaRPr lang="ru-RU" sz="1000" baseline="0">
                      <a:solidFill>
                        <a:srgbClr val="FFFF00"/>
                      </a:solidFill>
                      <a:latin typeface="Calibri" panose="020F0502020204030204" pitchFamily="34" charset="0"/>
                    </a:endParaRPr>
                  </a:p>
                  <a:p>
                    <a:endParaRPr lang="ru-RU" baseline="0"/>
                  </a:p>
                </c:rich>
              </c:tx>
              <c:dLblPos val="r"/>
              <c:showLegendKey val="0"/>
              <c:showVal val="1"/>
              <c:showCatName val="0"/>
              <c:showSerName val="0"/>
              <c:showPercent val="0"/>
              <c:showBubbleSize val="0"/>
            </c:dLbl>
            <c:dLbl>
              <c:idx val="2"/>
              <c:layout>
                <c:manualLayout>
                  <c:x val="-3.5118615372003364E-2"/>
                  <c:y val="4.5910396059838258E-2"/>
                </c:manualLayout>
              </c:layout>
              <c:dLblPos val="r"/>
              <c:showLegendKey val="0"/>
              <c:showVal val="1"/>
              <c:showCatName val="0"/>
              <c:showSerName val="0"/>
              <c:showPercent val="0"/>
              <c:showBubbleSize val="0"/>
            </c:dLbl>
            <c:dLbl>
              <c:idx val="3"/>
              <c:layout>
                <c:manualLayout>
                  <c:x val="-2.5632990323674061E-2"/>
                  <c:y val="2.9963776260933661E-2"/>
                </c:manualLayout>
              </c:layout>
              <c:dLblPos val="r"/>
              <c:showLegendKey val="0"/>
              <c:showVal val="1"/>
              <c:showCatName val="0"/>
              <c:showSerName val="0"/>
              <c:showPercent val="0"/>
              <c:showBubbleSize val="0"/>
            </c:dLbl>
            <c:dLbl>
              <c:idx val="4"/>
              <c:layout>
                <c:manualLayout>
                  <c:x val="-6.7761851542409478E-3"/>
                  <c:y val="3.7923352463576809E-2"/>
                </c:manualLayout>
              </c:layout>
              <c:tx>
                <c:rich>
                  <a:bodyPr/>
                  <a:lstStyle/>
                  <a:p>
                    <a:r>
                      <a:rPr lang="ru-RU" sz="1000" baseline="0">
                        <a:solidFill>
                          <a:srgbClr val="FFFF00"/>
                        </a:solidFill>
                        <a:latin typeface="Calibri" panose="020F0502020204030204" pitchFamily="34" charset="0"/>
                      </a:rPr>
                      <a:t>7,9</a:t>
                    </a:r>
                    <a:endParaRPr lang="ru-RU" sz="1100" baseline="0"/>
                  </a:p>
                </c:rich>
              </c:tx>
              <c:dLblPos val="r"/>
              <c:showLegendKey val="0"/>
              <c:showVal val="0"/>
              <c:showCatName val="0"/>
              <c:showSerName val="0"/>
              <c:showPercent val="0"/>
              <c:showBubbleSize val="0"/>
            </c:dLbl>
            <c:spPr>
              <a:noFill/>
              <a:ln w="25400">
                <a:noFill/>
              </a:ln>
            </c:spPr>
            <c:txPr>
              <a:bodyPr/>
              <a:lstStyle/>
              <a:p>
                <a:pPr>
                  <a:defRPr sz="1000" b="1" i="0" u="none" strike="noStrike" baseline="0">
                    <a:solidFill>
                      <a:srgbClr val="FFFF0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'Меры наказания-2017'!$B$47:$F$47</c:f>
              <c:numCache>
                <c:formatCode>0</c:formatCode>
                <c:ptCount val="5"/>
                <c:pt idx="0" formatCode="General">
                  <c:v>2013</c:v>
                </c:pt>
                <c:pt idx="1">
                  <c:v>2014</c:v>
                </c:pt>
                <c:pt idx="2">
                  <c:v>2015</c:v>
                </c:pt>
                <c:pt idx="3">
                  <c:v>2016</c:v>
                </c:pt>
                <c:pt idx="4">
                  <c:v>2017</c:v>
                </c:pt>
              </c:numCache>
            </c:numRef>
          </c:cat>
          <c:val>
            <c:numRef>
              <c:f>'Меры наказания-2017'!$B$51:$F$51</c:f>
              <c:numCache>
                <c:formatCode>0.0</c:formatCode>
                <c:ptCount val="5"/>
                <c:pt idx="0">
                  <c:v>8.5</c:v>
                </c:pt>
                <c:pt idx="1">
                  <c:v>7.3</c:v>
                </c:pt>
                <c:pt idx="2">
                  <c:v>5.6</c:v>
                </c:pt>
                <c:pt idx="3">
                  <c:v>7.9</c:v>
                </c:pt>
                <c:pt idx="4">
                  <c:v>6.4</c:v>
                </c:pt>
              </c:numCache>
            </c:numRef>
          </c:val>
          <c:smooth val="1"/>
        </c:ser>
        <c:dLbls>
          <c:showLegendKey val="0"/>
          <c:showVal val="1"/>
          <c:showCatName val="0"/>
          <c:showSerName val="0"/>
          <c:showPercent val="0"/>
          <c:showBubbleSize val="0"/>
        </c:dLbls>
        <c:marker val="1"/>
        <c:smooth val="0"/>
        <c:axId val="207828480"/>
        <c:axId val="207830016"/>
      </c:lineChart>
      <c:catAx>
        <c:axId val="2078284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panose="020F0502020204030204" pitchFamily="34" charset="0"/>
                <a:ea typeface="Arial Cyr"/>
                <a:cs typeface="Arial Cyr"/>
              </a:defRPr>
            </a:pPr>
            <a:endParaRPr lang="ru-RU"/>
          </a:p>
        </c:txPr>
        <c:crossAx val="207830016"/>
        <c:crosses val="autoZero"/>
        <c:auto val="1"/>
        <c:lblAlgn val="ctr"/>
        <c:lblOffset val="100"/>
        <c:tickLblSkip val="1"/>
        <c:tickMarkSkip val="1"/>
        <c:noMultiLvlLbl val="0"/>
      </c:catAx>
      <c:valAx>
        <c:axId val="207830016"/>
        <c:scaling>
          <c:orientation val="minMax"/>
        </c:scaling>
        <c:delete val="0"/>
        <c:axPos val="l"/>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07828480"/>
        <c:crosses val="autoZero"/>
        <c:crossBetween val="between"/>
      </c:valAx>
      <c:spPr>
        <a:noFill/>
        <a:ln w="25400">
          <a:noFill/>
        </a:ln>
      </c:spPr>
    </c:plotArea>
    <c:legend>
      <c:legendPos val="r"/>
      <c:layout>
        <c:manualLayout>
          <c:xMode val="edge"/>
          <c:yMode val="edge"/>
          <c:x val="0.75842010003086813"/>
          <c:y val="0.18227059747491314"/>
          <c:w val="0.23490334815054695"/>
          <c:h val="0.71892492484390536"/>
        </c:manualLayout>
      </c:layout>
      <c:overlay val="0"/>
      <c:txPr>
        <a:bodyPr/>
        <a:lstStyle/>
        <a:p>
          <a:pPr>
            <a:defRPr sz="1000" baseline="0">
              <a:latin typeface="Calibri" panose="020F0502020204030204" pitchFamily="34" charset="0"/>
            </a:defRPr>
          </a:pPr>
          <a:endParaRPr lang="ru-RU"/>
        </a:p>
      </c:txPr>
    </c:legend>
    <c:plotVisOnly val="1"/>
    <c:dispBlanksAs val="gap"/>
    <c:showDLblsOverMax val="0"/>
  </c:chart>
  <c:spPr>
    <a:gradFill>
      <a:gsLst>
        <a:gs pos="44000">
          <a:schemeClr val="accent3">
            <a:lumMod val="20000"/>
            <a:lumOff val="80000"/>
          </a:schemeClr>
        </a:gs>
        <a:gs pos="100000">
          <a:srgbClr val="7C9B3F"/>
        </a:gs>
      </a:gsLst>
      <a:lin ang="5400000" scaled="0"/>
    </a:gradFill>
    <a:ln w="9525">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Times New Roman"/>
                <a:ea typeface="Times New Roman"/>
                <a:cs typeface="Times New Roman"/>
              </a:defRPr>
            </a:pPr>
            <a:r>
              <a:rPr lang="ru-RU" sz="900" baseline="0"/>
              <a:t>Кол-во поступивших ходатайств, связанных со смягчением и освобождением от наказания 
за период с 201</a:t>
            </a:r>
            <a:r>
              <a:rPr lang="en-US" sz="900" baseline="0"/>
              <a:t>3</a:t>
            </a:r>
            <a:r>
              <a:rPr lang="ru-RU" sz="900" baseline="0"/>
              <a:t> по 201</a:t>
            </a:r>
            <a:r>
              <a:rPr lang="en-US" sz="900" baseline="0"/>
              <a:t>7</a:t>
            </a:r>
            <a:r>
              <a:rPr lang="ru-RU" sz="900" baseline="0"/>
              <a:t> гг</a:t>
            </a:r>
          </a:p>
        </c:rich>
      </c:tx>
      <c:layout>
        <c:manualLayout>
          <c:xMode val="edge"/>
          <c:yMode val="edge"/>
          <c:x val="0.11860964382357934"/>
          <c:y val="3.2520411268872979E-2"/>
        </c:manualLayout>
      </c:layout>
      <c:overlay val="0"/>
      <c:spPr>
        <a:noFill/>
        <a:ln w="25400">
          <a:noFill/>
        </a:ln>
      </c:spPr>
    </c:title>
    <c:autoTitleDeleted val="0"/>
    <c:plotArea>
      <c:layout>
        <c:manualLayout>
          <c:layoutTarget val="inner"/>
          <c:xMode val="edge"/>
          <c:yMode val="edge"/>
          <c:x val="9.2024723656225355E-2"/>
          <c:y val="0.24306165243322861"/>
          <c:w val="0.8773023655226817"/>
          <c:h val="0.6623011007030859"/>
        </c:manualLayout>
      </c:layout>
      <c:barChart>
        <c:barDir val="col"/>
        <c:grouping val="clustered"/>
        <c:varyColors val="0"/>
        <c:ser>
          <c:idx val="0"/>
          <c:order val="0"/>
          <c:tx>
            <c:strRef>
              <c:f>'Материалы- Графики-2017'!$B$10</c:f>
              <c:strCache>
                <c:ptCount val="1"/>
                <c:pt idx="0">
                  <c:v>Смягчение</c:v>
                </c:pt>
              </c:strCache>
            </c:strRef>
          </c:tx>
          <c:spPr>
            <a:gradFill rotWithShape="0">
              <a:gsLst>
                <a:gs pos="0">
                  <a:srgbClr val="006600"/>
                </a:gs>
                <a:gs pos="100000">
                  <a:srgbClr xmlns:mc="http://schemas.openxmlformats.org/markup-compatibility/2006" xmlns:a14="http://schemas.microsoft.com/office/drawing/2010/main" val="FFFFCC" mc:Ignorable="a14" a14:legacySpreadsheetColorIndex="26"/>
                </a:gs>
              </a:gsLst>
              <a:lin ang="0" scaled="1"/>
            </a:gradFill>
            <a:ln w="12700">
              <a:solidFill>
                <a:srgbClr val="000000"/>
              </a:solidFill>
              <a:prstDash val="solid"/>
            </a:ln>
          </c:spPr>
          <c:invertIfNegative val="0"/>
          <c:dLbls>
            <c:dLbl>
              <c:idx val="1"/>
              <c:layout>
                <c:manualLayout>
                  <c:x val="6.023271731690618E-2"/>
                  <c:y val="1.8713450292397661E-2"/>
                </c:manualLayout>
              </c:layout>
              <c:showLegendKey val="0"/>
              <c:showVal val="1"/>
              <c:showCatName val="0"/>
              <c:showSerName val="0"/>
              <c:showPercent val="0"/>
              <c:showBubbleSize val="0"/>
            </c:dLbl>
            <c:dLbl>
              <c:idx val="2"/>
              <c:layout>
                <c:manualLayout>
                  <c:x val="1.6574379815426296E-2"/>
                  <c:y val="-9.3567251461988306E-3"/>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0033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'Материалы- Графики-2017'!$C$9:$G$9</c:f>
              <c:numCache>
                <c:formatCode>General</c:formatCode>
                <c:ptCount val="5"/>
                <c:pt idx="0">
                  <c:v>2013</c:v>
                </c:pt>
                <c:pt idx="1">
                  <c:v>2014</c:v>
                </c:pt>
                <c:pt idx="2">
                  <c:v>2015</c:v>
                </c:pt>
                <c:pt idx="3">
                  <c:v>2016</c:v>
                </c:pt>
                <c:pt idx="4">
                  <c:v>2017</c:v>
                </c:pt>
              </c:numCache>
            </c:numRef>
          </c:cat>
          <c:val>
            <c:numRef>
              <c:f>'Материалы- Графики-2017'!$C$10:$G$10</c:f>
              <c:numCache>
                <c:formatCode>General</c:formatCode>
                <c:ptCount val="5"/>
                <c:pt idx="0">
                  <c:v>6123</c:v>
                </c:pt>
                <c:pt idx="1">
                  <c:v>6178</c:v>
                </c:pt>
                <c:pt idx="2">
                  <c:v>7803</c:v>
                </c:pt>
                <c:pt idx="3">
                  <c:v>5042</c:v>
                </c:pt>
                <c:pt idx="4">
                  <c:v>4943</c:v>
                </c:pt>
              </c:numCache>
            </c:numRef>
          </c:val>
        </c:ser>
        <c:dLbls>
          <c:showLegendKey val="0"/>
          <c:showVal val="1"/>
          <c:showCatName val="0"/>
          <c:showSerName val="0"/>
          <c:showPercent val="0"/>
          <c:showBubbleSize val="0"/>
        </c:dLbls>
        <c:gapWidth val="150"/>
        <c:axId val="213334272"/>
        <c:axId val="213337216"/>
      </c:barChart>
      <c:catAx>
        <c:axId val="213334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213337216"/>
        <c:crosses val="autoZero"/>
        <c:auto val="1"/>
        <c:lblAlgn val="ctr"/>
        <c:lblOffset val="100"/>
        <c:tickLblSkip val="1"/>
        <c:tickMarkSkip val="1"/>
        <c:noMultiLvlLbl val="0"/>
      </c:catAx>
      <c:valAx>
        <c:axId val="21333721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13334272"/>
        <c:crosses val="autoZero"/>
        <c:crossBetween val="between"/>
      </c:valAx>
      <c:spPr>
        <a:gradFill rotWithShape="0">
          <a:gsLst>
            <a:gs pos="0">
              <a:srgbClr xmlns:mc="http://schemas.openxmlformats.org/markup-compatibility/2006" xmlns:a14="http://schemas.microsoft.com/office/drawing/2010/main" val="FFFFCC" mc:Ignorable="a14" a14:legacySpreadsheetColorIndex="26"/>
            </a:gs>
            <a:gs pos="100000">
              <a:schemeClr val="accent6">
                <a:lumMod val="50000"/>
              </a:schemeClr>
            </a:gs>
          </a:gsLst>
          <a:lin ang="2700000" scaled="1"/>
        </a:gradFill>
        <a:ln w="25400">
          <a:noFill/>
        </a:ln>
      </c:spPr>
    </c:plotArea>
    <c:plotVisOnly val="1"/>
    <c:dispBlanksAs val="gap"/>
    <c:showDLblsOverMax val="0"/>
  </c:chart>
  <c:spPr>
    <a:gradFill rotWithShape="0">
      <a:gsLst>
        <a:gs pos="0">
          <a:srgbClr xmlns:mc="http://schemas.openxmlformats.org/markup-compatibility/2006" xmlns:a14="http://schemas.microsoft.com/office/drawing/2010/main" val="FFFFCC" mc:Ignorable="a14" a14:legacySpreadsheetColorIndex="26"/>
        </a:gs>
        <a:gs pos="100000">
          <a:schemeClr val="accent6">
            <a:lumMod val="50000"/>
          </a:schemeClr>
        </a:gs>
      </a:gsLst>
      <a:lin ang="2700000" scaled="1"/>
    </a:gra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anose="02020603050405020304" pitchFamily="18" charset="0"/>
              </a:defRPr>
            </a:pPr>
            <a:r>
              <a:rPr lang="ru-RU" sz="1100" baseline="0">
                <a:latin typeface="Times New Roman" panose="02020603050405020304" pitchFamily="18" charset="0"/>
              </a:rPr>
              <a:t>Динамика изменения показателя "Удельный вес дел, рассмотренных с удовлетворением требования"</a:t>
            </a:r>
            <a:r>
              <a:rPr lang="en-US" sz="1100" baseline="0">
                <a:latin typeface="Times New Roman" panose="02020603050405020304" pitchFamily="18" charset="0"/>
              </a:rPr>
              <a:t> </a:t>
            </a:r>
            <a:r>
              <a:rPr lang="ru-RU" sz="1100" baseline="0">
                <a:latin typeface="Times New Roman" panose="02020603050405020304" pitchFamily="18" charset="0"/>
              </a:rPr>
              <a:t> за период 2013-2017 гг  </a:t>
            </a:r>
          </a:p>
        </c:rich>
      </c:tx>
      <c:layout>
        <c:manualLayout>
          <c:xMode val="edge"/>
          <c:yMode val="edge"/>
          <c:x val="0.14307878426373016"/>
          <c:y val="2.4861036824395245E-3"/>
        </c:manualLayout>
      </c:layout>
      <c:overlay val="0"/>
    </c:title>
    <c:autoTitleDeleted val="0"/>
    <c:plotArea>
      <c:layout>
        <c:manualLayout>
          <c:layoutTarget val="inner"/>
          <c:xMode val="edge"/>
          <c:yMode val="edge"/>
          <c:x val="9.8545197176502217E-2"/>
          <c:y val="0.29066695553855426"/>
          <c:w val="0.88803990139803335"/>
          <c:h val="0.59439082878981653"/>
        </c:manualLayout>
      </c:layout>
      <c:lineChart>
        <c:grouping val="standard"/>
        <c:varyColors val="0"/>
        <c:ser>
          <c:idx val="0"/>
          <c:order val="0"/>
          <c:tx>
            <c:strRef>
              <c:f>'Результаты ГД-2017'!$P$26</c:f>
              <c:strCache>
                <c:ptCount val="1"/>
                <c:pt idx="0">
                  <c:v>удовлетворено требований</c:v>
                </c:pt>
              </c:strCache>
            </c:strRef>
          </c:tx>
          <c:spPr>
            <a:ln w="44450" cmpd="thickThin">
              <a:solidFill>
                <a:srgbClr val="000066"/>
              </a:solidFill>
              <a:bevel/>
            </a:ln>
          </c:spPr>
          <c:marker>
            <c:spPr>
              <a:solidFill>
                <a:srgbClr val="FFCC00"/>
              </a:solidFill>
            </c:spPr>
          </c:marker>
          <c:dLbls>
            <c:dLbl>
              <c:idx val="0"/>
              <c:layout>
                <c:manualLayout>
                  <c:x val="-8.1814883893593968E-2"/>
                  <c:y val="4.2192854568096398E-2"/>
                </c:manualLayout>
              </c:layout>
              <c:showLegendKey val="0"/>
              <c:showVal val="1"/>
              <c:showCatName val="0"/>
              <c:showSerName val="0"/>
              <c:showPercent val="0"/>
              <c:showBubbleSize val="0"/>
            </c:dLbl>
            <c:dLbl>
              <c:idx val="1"/>
              <c:layout>
                <c:manualLayout>
                  <c:x val="-6.8179069911328289E-3"/>
                  <c:y val="-7.3837495494168653E-2"/>
                </c:manualLayout>
              </c:layout>
              <c:showLegendKey val="0"/>
              <c:showVal val="1"/>
              <c:showCatName val="0"/>
              <c:showSerName val="0"/>
              <c:showPercent val="0"/>
              <c:showBubbleSize val="0"/>
            </c:dLbl>
            <c:dLbl>
              <c:idx val="2"/>
              <c:layout>
                <c:manualLayout>
                  <c:x val="-2.897610471231446E-2"/>
                  <c:y val="-7.3837495494168584E-2"/>
                </c:manualLayout>
              </c:layout>
              <c:showLegendKey val="0"/>
              <c:showVal val="1"/>
              <c:showCatName val="0"/>
              <c:showSerName val="0"/>
              <c:showPercent val="0"/>
              <c:showBubbleSize val="0"/>
            </c:dLbl>
            <c:dLbl>
              <c:idx val="3"/>
              <c:layout>
                <c:manualLayout>
                  <c:x val="-2.7271627964531316E-2"/>
                  <c:y val="-5.9773210638136474E-2"/>
                </c:manualLayout>
              </c:layout>
              <c:showLegendKey val="0"/>
              <c:showVal val="1"/>
              <c:showCatName val="0"/>
              <c:showSerName val="0"/>
              <c:showPercent val="0"/>
              <c:showBubbleSize val="0"/>
            </c:dLbl>
            <c:txPr>
              <a:bodyPr/>
              <a:lstStyle/>
              <a:p>
                <a:pPr>
                  <a:defRPr sz="1000" b="1" i="0" baseline="0">
                    <a:solidFill>
                      <a:srgbClr val="000099"/>
                    </a:solidFill>
                    <a:latin typeface="Calibri" panose="020F0502020204030204" pitchFamily="34" charset="0"/>
                  </a:defRPr>
                </a:pPr>
                <a:endParaRPr lang="ru-RU"/>
              </a:p>
            </c:txPr>
            <c:showLegendKey val="0"/>
            <c:showVal val="1"/>
            <c:showCatName val="0"/>
            <c:showSerName val="0"/>
            <c:showPercent val="0"/>
            <c:showBubbleSize val="0"/>
            <c:showLeaderLines val="0"/>
          </c:dLbls>
          <c:trendline>
            <c:spPr>
              <a:ln>
                <a:solidFill>
                  <a:srgbClr val="FF0066"/>
                </a:solidFill>
              </a:ln>
            </c:spPr>
            <c:trendlineType val="poly"/>
            <c:order val="2"/>
            <c:dispRSqr val="0"/>
            <c:dispEq val="0"/>
          </c:trendline>
          <c:cat>
            <c:numRef>
              <c:f>'Результаты ГД-2017'!$Q$25:$U$25</c:f>
              <c:numCache>
                <c:formatCode>General</c:formatCode>
                <c:ptCount val="5"/>
                <c:pt idx="0">
                  <c:v>2013</c:v>
                </c:pt>
                <c:pt idx="1">
                  <c:v>2014</c:v>
                </c:pt>
                <c:pt idx="2">
                  <c:v>2015</c:v>
                </c:pt>
                <c:pt idx="3">
                  <c:v>2016</c:v>
                </c:pt>
                <c:pt idx="4">
                  <c:v>2017</c:v>
                </c:pt>
              </c:numCache>
            </c:numRef>
          </c:cat>
          <c:val>
            <c:numRef>
              <c:f>'Результаты ГД-2017'!$Q$26:$U$26</c:f>
              <c:numCache>
                <c:formatCode>General</c:formatCode>
                <c:ptCount val="5"/>
                <c:pt idx="0">
                  <c:v>75.2</c:v>
                </c:pt>
                <c:pt idx="1">
                  <c:v>74.7</c:v>
                </c:pt>
                <c:pt idx="2">
                  <c:v>74.400000000000006</c:v>
                </c:pt>
                <c:pt idx="3">
                  <c:v>72.5</c:v>
                </c:pt>
                <c:pt idx="4">
                  <c:v>70.599999999999994</c:v>
                </c:pt>
              </c:numCache>
            </c:numRef>
          </c:val>
          <c:smooth val="0"/>
        </c:ser>
        <c:dLbls>
          <c:showLegendKey val="0"/>
          <c:showVal val="0"/>
          <c:showCatName val="0"/>
          <c:showSerName val="0"/>
          <c:showPercent val="0"/>
          <c:showBubbleSize val="0"/>
        </c:dLbls>
        <c:marker val="1"/>
        <c:smooth val="0"/>
        <c:axId val="213366656"/>
        <c:axId val="213368192"/>
      </c:lineChart>
      <c:catAx>
        <c:axId val="213366656"/>
        <c:scaling>
          <c:orientation val="minMax"/>
        </c:scaling>
        <c:delete val="0"/>
        <c:axPos val="b"/>
        <c:numFmt formatCode="General" sourceLinked="1"/>
        <c:majorTickMark val="none"/>
        <c:minorTickMark val="none"/>
        <c:tickLblPos val="nextTo"/>
        <c:txPr>
          <a:bodyPr/>
          <a:lstStyle/>
          <a:p>
            <a:pPr>
              <a:defRPr sz="1000" b="1" i="0" baseline="0">
                <a:latin typeface="Calibri" panose="020F0502020204030204" pitchFamily="34" charset="0"/>
              </a:defRPr>
            </a:pPr>
            <a:endParaRPr lang="ru-RU"/>
          </a:p>
        </c:txPr>
        <c:crossAx val="213368192"/>
        <c:crosses val="autoZero"/>
        <c:auto val="1"/>
        <c:lblAlgn val="ctr"/>
        <c:lblOffset val="100"/>
        <c:noMultiLvlLbl val="0"/>
      </c:catAx>
      <c:valAx>
        <c:axId val="213368192"/>
        <c:scaling>
          <c:orientation val="minMax"/>
        </c:scaling>
        <c:delete val="0"/>
        <c:axPos val="l"/>
        <c:numFmt formatCode="General" sourceLinked="1"/>
        <c:majorTickMark val="none"/>
        <c:minorTickMark val="none"/>
        <c:tickLblPos val="nextTo"/>
        <c:crossAx val="213366656"/>
        <c:crosses val="autoZero"/>
        <c:crossBetween val="between"/>
      </c:valAx>
      <c:spPr>
        <a:noFill/>
        <a:ln>
          <a:noFill/>
        </a:ln>
      </c:spPr>
    </c:plotArea>
    <c:plotVisOnly val="1"/>
    <c:dispBlanksAs val="gap"/>
    <c:showDLblsOverMax val="0"/>
  </c:chart>
  <c:spPr>
    <a:gradFill>
      <a:gsLst>
        <a:gs pos="0">
          <a:schemeClr val="accent3">
            <a:lumMod val="75000"/>
          </a:schemeClr>
        </a:gs>
        <a:gs pos="43000">
          <a:srgbClr xmlns:mc="http://schemas.openxmlformats.org/markup-compatibility/2006" xmlns:a14="http://schemas.microsoft.com/office/drawing/2010/main" val="FFFFCC" mc:Ignorable="a14" a14:legacySpreadsheetColorIndex="26"/>
        </a:gs>
      </a:gsLst>
      <a:lin ang="16800000" scaled="0"/>
    </a:grad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panose="02020603050405020304" pitchFamily="18" charset="0"/>
                <a:ea typeface="Arial"/>
                <a:cs typeface="Arial"/>
              </a:defRPr>
            </a:pPr>
            <a:r>
              <a:rPr lang="ru-RU" sz="1100" baseline="0">
                <a:latin typeface="Times New Roman" panose="02020603050405020304" pitchFamily="18" charset="0"/>
              </a:rPr>
              <a:t>Динамика применения судами ч.3 ст. 152</a:t>
            </a:r>
            <a:r>
              <a:rPr lang="en-US" sz="1100" baseline="0">
                <a:latin typeface="Times New Roman" panose="02020603050405020304" pitchFamily="18" charset="0"/>
              </a:rPr>
              <a:t> </a:t>
            </a:r>
            <a:r>
              <a:rPr lang="ru-RU" sz="1100" baseline="0">
                <a:latin typeface="Times New Roman" panose="02020603050405020304" pitchFamily="18" charset="0"/>
              </a:rPr>
              <a:t>за период с 20</a:t>
            </a:r>
            <a:r>
              <a:rPr lang="en-US" sz="1100" baseline="0">
                <a:latin typeface="Times New Roman" panose="02020603050405020304" pitchFamily="18" charset="0"/>
              </a:rPr>
              <a:t>1</a:t>
            </a:r>
            <a:r>
              <a:rPr lang="ru-RU" sz="1100" baseline="0">
                <a:latin typeface="Times New Roman" panose="02020603050405020304" pitchFamily="18" charset="0"/>
              </a:rPr>
              <a:t>3 по 2017 гг</a:t>
            </a:r>
          </a:p>
        </c:rich>
      </c:tx>
      <c:layout>
        <c:manualLayout>
          <c:xMode val="edge"/>
          <c:yMode val="edge"/>
          <c:x val="0.18803444961166979"/>
          <c:y val="2.9069822458330414E-2"/>
        </c:manualLayout>
      </c:layout>
      <c:overlay val="0"/>
      <c:spPr>
        <a:noFill/>
        <a:ln w="25400">
          <a:noFill/>
        </a:ln>
      </c:spPr>
    </c:title>
    <c:autoTitleDeleted val="0"/>
    <c:plotArea>
      <c:layout>
        <c:manualLayout>
          <c:layoutTarget val="inner"/>
          <c:xMode val="edge"/>
          <c:yMode val="edge"/>
          <c:x val="7.6923183932046738E-2"/>
          <c:y val="0.15213328050725863"/>
          <c:w val="0.88270221737666543"/>
          <c:h val="0.67030169619491031"/>
        </c:manualLayout>
      </c:layout>
      <c:lineChart>
        <c:grouping val="standard"/>
        <c:varyColors val="0"/>
        <c:ser>
          <c:idx val="0"/>
          <c:order val="0"/>
          <c:tx>
            <c:strRef>
              <c:f>'Графики к ГД-2017'!$M$12:$N$12</c:f>
              <c:strCache>
                <c:ptCount val="1"/>
                <c:pt idx="0">
                  <c:v>Количество дел со ст. 152 ч. 3 ГПК РФ</c:v>
                </c:pt>
              </c:strCache>
            </c:strRef>
          </c:tx>
          <c:spPr>
            <a:ln w="38100">
              <a:solidFill>
                <a:srgbClr val="660066"/>
              </a:solidFill>
              <a:prstDash val="solid"/>
            </a:ln>
          </c:spPr>
          <c:marker>
            <c:symbol val="diamond"/>
            <c:size val="6"/>
            <c:spPr>
              <a:solidFill>
                <a:srgbClr val="FFFF00"/>
              </a:solidFill>
              <a:ln>
                <a:solidFill>
                  <a:srgbClr val="000080"/>
                </a:solidFill>
                <a:prstDash val="solid"/>
              </a:ln>
            </c:spPr>
          </c:marker>
          <c:dLbls>
            <c:dLbl>
              <c:idx val="0"/>
              <c:layout>
                <c:manualLayout>
                  <c:x val="-5.9014633573989943E-2"/>
                  <c:y val="6.0467608221511766E-2"/>
                </c:manualLayout>
              </c:layout>
              <c:dLblPos val="r"/>
              <c:showLegendKey val="0"/>
              <c:showVal val="1"/>
              <c:showCatName val="0"/>
              <c:showSerName val="0"/>
              <c:showPercent val="0"/>
              <c:showBubbleSize val="0"/>
            </c:dLbl>
            <c:dLbl>
              <c:idx val="1"/>
              <c:layout>
                <c:manualLayout>
                  <c:x val="-4.8473338032204799E-2"/>
                  <c:y val="5.7817371924995503E-2"/>
                </c:manualLayout>
              </c:layout>
              <c:dLblPos val="r"/>
              <c:showLegendKey val="0"/>
              <c:showVal val="1"/>
              <c:showCatName val="0"/>
              <c:showSerName val="0"/>
              <c:showPercent val="0"/>
              <c:showBubbleSize val="0"/>
            </c:dLbl>
            <c:dLbl>
              <c:idx val="2"/>
              <c:layout>
                <c:manualLayout>
                  <c:x val="-6.7272236121670562E-2"/>
                  <c:y val="7.2057470784618452E-2"/>
                </c:manualLayout>
              </c:layout>
              <c:dLblPos val="r"/>
              <c:showLegendKey val="0"/>
              <c:showVal val="1"/>
              <c:showCatName val="0"/>
              <c:showSerName val="0"/>
              <c:showPercent val="0"/>
              <c:showBubbleSize val="0"/>
            </c:dLbl>
            <c:dLbl>
              <c:idx val="3"/>
              <c:layout>
                <c:manualLayout>
                  <c:x val="-4.30602844162737E-2"/>
                  <c:y val="7.0927874702844243E-2"/>
                </c:manualLayout>
              </c:layout>
              <c:dLblPos val="r"/>
              <c:showLegendKey val="0"/>
              <c:showVal val="1"/>
              <c:showCatName val="0"/>
              <c:showSerName val="0"/>
              <c:showPercent val="0"/>
              <c:showBubbleSize val="0"/>
            </c:dLbl>
            <c:dLbl>
              <c:idx val="4"/>
              <c:layout>
                <c:manualLayout>
                  <c:x val="-2.1122961625296404E-2"/>
                  <c:y val="5.2531404811182611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660066"/>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'Графики к ГД-2017'!$O$11:$S$11</c:f>
              <c:numCache>
                <c:formatCode>General</c:formatCode>
                <c:ptCount val="5"/>
                <c:pt idx="0">
                  <c:v>2013</c:v>
                </c:pt>
                <c:pt idx="1">
                  <c:v>2014</c:v>
                </c:pt>
                <c:pt idx="2">
                  <c:v>2015</c:v>
                </c:pt>
                <c:pt idx="3">
                  <c:v>2016</c:v>
                </c:pt>
                <c:pt idx="4">
                  <c:v>2017</c:v>
                </c:pt>
              </c:numCache>
            </c:numRef>
          </c:cat>
          <c:val>
            <c:numRef>
              <c:f>'Графики к ГД-2017'!$O$12:$S$12</c:f>
              <c:numCache>
                <c:formatCode>#,##0</c:formatCode>
                <c:ptCount val="5"/>
                <c:pt idx="0">
                  <c:v>5610</c:v>
                </c:pt>
                <c:pt idx="1">
                  <c:v>6168</c:v>
                </c:pt>
                <c:pt idx="2">
                  <c:v>8220</c:v>
                </c:pt>
                <c:pt idx="3">
                  <c:v>3520</c:v>
                </c:pt>
                <c:pt idx="4">
                  <c:v>4015</c:v>
                </c:pt>
              </c:numCache>
            </c:numRef>
          </c:val>
          <c:smooth val="0"/>
        </c:ser>
        <c:dLbls>
          <c:showLegendKey val="0"/>
          <c:showVal val="1"/>
          <c:showCatName val="0"/>
          <c:showSerName val="0"/>
          <c:showPercent val="0"/>
          <c:showBubbleSize val="0"/>
        </c:dLbls>
        <c:marker val="1"/>
        <c:smooth val="0"/>
        <c:axId val="213441152"/>
        <c:axId val="221553792"/>
      </c:lineChart>
      <c:catAx>
        <c:axId val="213441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panose="020F0502020204030204" pitchFamily="34" charset="0"/>
                <a:ea typeface="Arial Cyr"/>
                <a:cs typeface="Arial Cyr"/>
              </a:defRPr>
            </a:pPr>
            <a:endParaRPr lang="ru-RU"/>
          </a:p>
        </c:txPr>
        <c:crossAx val="221553792"/>
        <c:crosses val="autoZero"/>
        <c:auto val="1"/>
        <c:lblAlgn val="ctr"/>
        <c:lblOffset val="100"/>
        <c:tickLblSkip val="1"/>
        <c:tickMarkSkip val="1"/>
        <c:noMultiLvlLbl val="0"/>
      </c:catAx>
      <c:valAx>
        <c:axId val="221553792"/>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13441152"/>
        <c:crosses val="autoZero"/>
        <c:crossBetween val="between"/>
      </c:valAx>
      <c:spPr>
        <a:noFill/>
        <a:ln w="12700">
          <a:noFill/>
          <a:prstDash val="solid"/>
        </a:ln>
      </c:spPr>
    </c:plotArea>
    <c:plotVisOnly val="1"/>
    <c:dispBlanksAs val="gap"/>
    <c:showDLblsOverMax val="0"/>
  </c:chart>
  <c:spPr>
    <a:gradFill rotWithShape="0">
      <a:gsLst>
        <a:gs pos="43000">
          <a:srgbClr xmlns:mc="http://schemas.openxmlformats.org/markup-compatibility/2006" xmlns:a14="http://schemas.microsoft.com/office/drawing/2010/main" val="CCFFFF" mc:Ignorable="a14" a14:legacySpreadsheetColorIndex="41"/>
        </a:gs>
        <a:gs pos="100000">
          <a:srgbClr val="627D7C"/>
        </a:gs>
      </a:gsLst>
      <a:lin ang="18900000" scaled="1"/>
    </a:gra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Cyr"/>
                <a:ea typeface="Arial Cyr"/>
                <a:cs typeface="Arial Cyr"/>
              </a:defRPr>
            </a:pPr>
            <a:r>
              <a:rPr lang="ru-RU" sz="1100" baseline="0">
                <a:latin typeface="Times New Roman" panose="02020603050405020304" pitchFamily="18" charset="0"/>
                <a:cs typeface="Times New Roman" panose="02020603050405020304" pitchFamily="18" charset="0"/>
              </a:rPr>
              <a:t>Динамика рассмотрения жалоб на действия 
гос. и муницип. органов, долж. лиц, гос. и муницип. служащих  
 в 2013-2017 гг. </a:t>
            </a:r>
          </a:p>
        </c:rich>
      </c:tx>
      <c:layout>
        <c:manualLayout>
          <c:xMode val="edge"/>
          <c:yMode val="edge"/>
          <c:x val="0.16980602237180517"/>
          <c:y val="3.6579456766295045E-2"/>
        </c:manualLayout>
      </c:layout>
      <c:overlay val="0"/>
      <c:spPr>
        <a:noFill/>
        <a:ln w="25400">
          <a:noFill/>
        </a:ln>
      </c:spPr>
    </c:title>
    <c:autoTitleDeleted val="0"/>
    <c:plotArea>
      <c:layout>
        <c:manualLayout>
          <c:layoutTarget val="inner"/>
          <c:xMode val="edge"/>
          <c:yMode val="edge"/>
          <c:x val="0.11057690156188367"/>
          <c:y val="0.23843171448860767"/>
          <c:w val="0.82031177578840575"/>
          <c:h val="0.64424381532480468"/>
        </c:manualLayout>
      </c:layout>
      <c:barChart>
        <c:barDir val="col"/>
        <c:grouping val="clustered"/>
        <c:varyColors val="0"/>
        <c:ser>
          <c:idx val="0"/>
          <c:order val="0"/>
          <c:tx>
            <c:strRef>
              <c:f>'Графики к АД-КАС-2016'!$B$6</c:f>
              <c:strCache>
                <c:ptCount val="1"/>
              </c:strCache>
            </c:strRef>
          </c:tx>
          <c:spPr>
            <a:gradFill rotWithShape="0">
              <a:gsLst>
                <a:gs pos="1000">
                  <a:srgbClr val="881A70"/>
                </a:gs>
                <a:gs pos="77000">
                  <a:srgbClr xmlns:mc="http://schemas.openxmlformats.org/markup-compatibility/2006" xmlns:a14="http://schemas.microsoft.com/office/drawing/2010/main" val="FFFFCC" mc:Ignorable="a14" a14:legacySpreadsheetColorIndex="26"/>
                </a:gs>
              </a:gsLst>
              <a:lin ang="0" scaled="1"/>
            </a:gradFill>
            <a:ln w="12700">
              <a:solidFill>
                <a:srgbClr val="000000"/>
              </a:solidFill>
              <a:prstDash val="solid"/>
            </a:ln>
          </c:spPr>
          <c:invertIfNegative val="0"/>
          <c:dLbls>
            <c:dLbl>
              <c:idx val="0"/>
              <c:layout>
                <c:manualLayout>
                  <c:x val="8.2069489004615121E-4"/>
                  <c:y val="-3.1184148280859223E-2"/>
                </c:manualLayout>
              </c:layout>
              <c:dLblPos val="outEnd"/>
              <c:showLegendKey val="0"/>
              <c:showVal val="1"/>
              <c:showCatName val="0"/>
              <c:showSerName val="0"/>
              <c:showPercent val="0"/>
              <c:showBubbleSize val="0"/>
            </c:dLbl>
            <c:dLbl>
              <c:idx val="1"/>
              <c:layout>
                <c:manualLayout>
                  <c:x val="0"/>
                  <c:y val="-4.5384348529805503E-2"/>
                </c:manualLayout>
              </c:layout>
              <c:showLegendKey val="0"/>
              <c:showVal val="1"/>
              <c:showCatName val="0"/>
              <c:showSerName val="0"/>
              <c:showPercent val="0"/>
              <c:showBubbleSize val="0"/>
            </c:dLbl>
            <c:dLbl>
              <c:idx val="2"/>
              <c:layout>
                <c:manualLayout>
                  <c:x val="4.4324959071472382E-3"/>
                  <c:y val="-2.6981531606814243E-3"/>
                </c:manualLayout>
              </c:layout>
              <c:dLblPos val="outEnd"/>
              <c:showLegendKey val="0"/>
              <c:showVal val="1"/>
              <c:showCatName val="0"/>
              <c:showSerName val="0"/>
              <c:showPercent val="0"/>
              <c:showBubbleSize val="0"/>
            </c:dLbl>
            <c:dLbl>
              <c:idx val="3"/>
              <c:layout>
                <c:manualLayout>
                  <c:x val="9.6768106712534167E-3"/>
                  <c:y val="-4.0220166190687259E-2"/>
                </c:manualLayout>
              </c:layout>
              <c:showLegendKey val="0"/>
              <c:showVal val="1"/>
              <c:showCatName val="0"/>
              <c:showSerName val="0"/>
              <c:showPercent val="0"/>
              <c:showBubbleSize val="0"/>
            </c:dLbl>
            <c:dLbl>
              <c:idx val="4"/>
              <c:layout>
                <c:manualLayout>
                  <c:x val="-2.0948430863465071E-3"/>
                  <c:y val="-4.8932553063755057E-3"/>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881A7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trendline>
            <c:spPr>
              <a:ln>
                <a:solidFill>
                  <a:srgbClr val="8D2F67"/>
                </a:solidFill>
              </a:ln>
            </c:spPr>
            <c:trendlineType val="linear"/>
            <c:dispRSqr val="0"/>
            <c:dispEq val="0"/>
          </c:trendline>
          <c:cat>
            <c:numRef>
              <c:f>'Графики к АД-КАС-2016'!$C$5:$G$5</c:f>
              <c:numCache>
                <c:formatCode>0</c:formatCode>
                <c:ptCount val="5"/>
                <c:pt idx="0">
                  <c:v>2013</c:v>
                </c:pt>
                <c:pt idx="1">
                  <c:v>2014</c:v>
                </c:pt>
                <c:pt idx="2">
                  <c:v>2015</c:v>
                </c:pt>
                <c:pt idx="3">
                  <c:v>2016</c:v>
                </c:pt>
                <c:pt idx="4">
                  <c:v>2017</c:v>
                </c:pt>
              </c:numCache>
            </c:numRef>
          </c:cat>
          <c:val>
            <c:numRef>
              <c:f>'Графики к АД-КАС-2016'!$C$6:$G$6</c:f>
              <c:numCache>
                <c:formatCode>0</c:formatCode>
                <c:ptCount val="5"/>
                <c:pt idx="0">
                  <c:v>3160</c:v>
                </c:pt>
                <c:pt idx="1">
                  <c:v>3513</c:v>
                </c:pt>
                <c:pt idx="2">
                  <c:v>4364</c:v>
                </c:pt>
                <c:pt idx="3">
                  <c:v>4433</c:v>
                </c:pt>
                <c:pt idx="4">
                  <c:v>5407</c:v>
                </c:pt>
              </c:numCache>
            </c:numRef>
          </c:val>
        </c:ser>
        <c:dLbls>
          <c:showLegendKey val="0"/>
          <c:showVal val="1"/>
          <c:showCatName val="0"/>
          <c:showSerName val="0"/>
          <c:showPercent val="0"/>
          <c:showBubbleSize val="0"/>
        </c:dLbls>
        <c:gapWidth val="150"/>
        <c:axId val="239654784"/>
        <c:axId val="239656320"/>
      </c:barChart>
      <c:catAx>
        <c:axId val="239654784"/>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panose="020F0502020204030204" pitchFamily="34" charset="0"/>
                <a:ea typeface="Arial Cyr"/>
                <a:cs typeface="Arial Cyr"/>
              </a:defRPr>
            </a:pPr>
            <a:endParaRPr lang="ru-RU"/>
          </a:p>
        </c:txPr>
        <c:crossAx val="239656320"/>
        <c:crosses val="autoZero"/>
        <c:auto val="1"/>
        <c:lblAlgn val="ctr"/>
        <c:lblOffset val="100"/>
        <c:tickLblSkip val="1"/>
        <c:tickMarkSkip val="1"/>
        <c:noMultiLvlLbl val="0"/>
      </c:catAx>
      <c:valAx>
        <c:axId val="239656320"/>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239654784"/>
        <c:crosses val="autoZero"/>
        <c:crossBetween val="between"/>
      </c:valAx>
      <c:spPr>
        <a:noFill/>
        <a:ln w="25400">
          <a:noFill/>
        </a:ln>
      </c:spPr>
    </c:plotArea>
    <c:plotVisOnly val="1"/>
    <c:dispBlanksAs val="gap"/>
    <c:showDLblsOverMax val="0"/>
  </c:chart>
  <c:spPr>
    <a:gradFill>
      <a:gsLst>
        <a:gs pos="100000">
          <a:schemeClr val="accent4">
            <a:lumMod val="60000"/>
            <a:lumOff val="40000"/>
          </a:schemeClr>
        </a:gs>
        <a:gs pos="97000">
          <a:srgbClr val="D971CD"/>
        </a:gs>
        <a:gs pos="0">
          <a:schemeClr val="bg1">
            <a:lumMod val="95000"/>
          </a:schemeClr>
        </a:gs>
        <a:gs pos="42000">
          <a:srgbClr val="D9D9D9"/>
        </a:gs>
      </a:gsLst>
      <a:lin ang="15000000" scaled="0"/>
    </a:gradFill>
    <a:ln w="9525">
      <a:noFill/>
    </a:ln>
  </c:spPr>
  <c:txPr>
    <a:bodyPr/>
    <a:lstStyle/>
    <a:p>
      <a:pPr>
        <a:defRPr sz="8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latin typeface="Times New Roman" panose="02020603050405020304" pitchFamily="18" charset="0"/>
                <a:cs typeface="Times New Roman" panose="02020603050405020304" pitchFamily="18" charset="0"/>
              </a:defRPr>
            </a:pPr>
            <a:r>
              <a:rPr lang="ru-RU" sz="1100" baseline="0">
                <a:latin typeface="Times New Roman" panose="02020603050405020304" pitchFamily="18" charset="0"/>
                <a:cs typeface="Times New Roman" panose="02020603050405020304" pitchFamily="18" charset="0"/>
              </a:rPr>
              <a:t>Структура дел об административных правонарушениях в 2017г.</a:t>
            </a:r>
          </a:p>
        </c:rich>
      </c:tx>
      <c:layout>
        <c:manualLayout>
          <c:xMode val="edge"/>
          <c:yMode val="edge"/>
          <c:x val="0.14232913288556656"/>
          <c:y val="3.758203315764179E-3"/>
        </c:manualLayout>
      </c:layout>
      <c:overlay val="0"/>
    </c:title>
    <c:autoTitleDeleted val="0"/>
    <c:view3D>
      <c:rotX val="30"/>
      <c:rotY val="250"/>
      <c:rAngAx val="0"/>
      <c:perspective val="30"/>
    </c:view3D>
    <c:floor>
      <c:thickness val="0"/>
    </c:floor>
    <c:sideWall>
      <c:thickness val="0"/>
    </c:sideWall>
    <c:backWall>
      <c:thickness val="0"/>
    </c:backWall>
    <c:plotArea>
      <c:layout>
        <c:manualLayout>
          <c:layoutTarget val="inner"/>
          <c:xMode val="edge"/>
          <c:yMode val="edge"/>
          <c:x val="0.12975099758751987"/>
          <c:y val="0.13903504259592528"/>
          <c:w val="0.67035055780923325"/>
          <c:h val="0.63307465262521034"/>
        </c:manualLayout>
      </c:layout>
      <c:pie3DChart>
        <c:varyColors val="1"/>
        <c:ser>
          <c:idx val="0"/>
          <c:order val="0"/>
          <c:tx>
            <c:strRef>
              <c:f>'АД-коап-результаты-2014'!$B$45:$B$50</c:f>
              <c:strCache>
                <c:ptCount val="1"/>
                <c:pt idx="0">
                  <c:v>Обществ. порядок и общ. Безопасность 20) Защита гос. Границы (18) Порядок управления (19) Санитарно-эпидем. благополучие (6) Дорожное движение Прочие</c:v>
                </c:pt>
              </c:strCache>
            </c:strRef>
          </c:tx>
          <c:explosion val="27"/>
          <c:dPt>
            <c:idx val="0"/>
            <c:bubble3D val="0"/>
          </c:dPt>
          <c:dPt>
            <c:idx val="2"/>
            <c:bubble3D val="0"/>
          </c:dPt>
          <c:dPt>
            <c:idx val="3"/>
            <c:bubble3D val="0"/>
          </c:dPt>
          <c:dPt>
            <c:idx val="4"/>
            <c:bubble3D val="0"/>
          </c:dPt>
          <c:dLbls>
            <c:dLbl>
              <c:idx val="0"/>
              <c:layout>
                <c:manualLayout>
                  <c:x val="-0.12670269815762922"/>
                  <c:y val="0.14675190714272551"/>
                </c:manualLayout>
              </c:layout>
              <c:tx>
                <c:rich>
                  <a:bodyPr/>
                  <a:lstStyle/>
                  <a:p>
                    <a:r>
                      <a:rPr lang="ru-RU" sz="1000" b="1" i="0" baseline="0"/>
                      <a:t>Общественный порядок и безопасность (гл. 20 КоАП РФ)         </a:t>
                    </a:r>
                    <a:r>
                      <a:rPr lang="en-US" sz="1000" b="1" i="0" baseline="0"/>
                      <a:t>10289</a:t>
                    </a:r>
                    <a:endParaRPr lang="en-US" b="1"/>
                  </a:p>
                </c:rich>
              </c:tx>
              <c:showLegendKey val="0"/>
              <c:showVal val="1"/>
              <c:showCatName val="0"/>
              <c:showSerName val="0"/>
              <c:showPercent val="0"/>
              <c:showBubbleSize val="0"/>
            </c:dLbl>
            <c:dLbl>
              <c:idx val="1"/>
              <c:layout>
                <c:manualLayout>
                  <c:x val="7.2105946608434293E-2"/>
                  <c:y val="-1.1260554153218885E-4"/>
                </c:manualLayout>
              </c:layout>
              <c:tx>
                <c:rich>
                  <a:bodyPr/>
                  <a:lstStyle/>
                  <a:p>
                    <a:r>
                      <a:rPr lang="ru-RU" sz="1000" b="1" i="0" baseline="0"/>
                      <a:t>Защита гос. границы       (гл.18 КоАП РФ)       </a:t>
                    </a:r>
                    <a:r>
                      <a:rPr lang="en-US" sz="1000" b="1" i="0" baseline="0"/>
                      <a:t>3414</a:t>
                    </a:r>
                    <a:endParaRPr lang="en-US" b="1"/>
                  </a:p>
                </c:rich>
              </c:tx>
              <c:showLegendKey val="0"/>
              <c:showVal val="1"/>
              <c:showCatName val="0"/>
              <c:showSerName val="0"/>
              <c:showPercent val="0"/>
              <c:showBubbleSize val="0"/>
            </c:dLbl>
            <c:dLbl>
              <c:idx val="2"/>
              <c:layout>
                <c:manualLayout>
                  <c:x val="9.7285606150947848E-2"/>
                  <c:y val="-0.10269601205204072"/>
                </c:manualLayout>
              </c:layout>
              <c:tx>
                <c:rich>
                  <a:bodyPr/>
                  <a:lstStyle/>
                  <a:p>
                    <a:r>
                      <a:rPr lang="ru-RU" sz="1000" b="1" i="0" baseline="0"/>
                      <a:t>Порядок управления     (гл. 19 КоАП РФ)   </a:t>
                    </a:r>
                    <a:r>
                      <a:rPr lang="en-US" sz="1000" b="1" i="0" baseline="0"/>
                      <a:t>3376</a:t>
                    </a:r>
                    <a:endParaRPr lang="en-US" b="1"/>
                  </a:p>
                </c:rich>
              </c:tx>
              <c:showLegendKey val="0"/>
              <c:showVal val="1"/>
              <c:showCatName val="0"/>
              <c:showSerName val="0"/>
              <c:showPercent val="0"/>
              <c:showBubbleSize val="0"/>
            </c:dLbl>
            <c:dLbl>
              <c:idx val="3"/>
              <c:layout>
                <c:manualLayout>
                  <c:x val="0.10568182193991882"/>
                  <c:y val="-4.774436546582988E-3"/>
                </c:manualLayout>
              </c:layout>
              <c:tx>
                <c:rich>
                  <a:bodyPr/>
                  <a:lstStyle/>
                  <a:p>
                    <a:r>
                      <a:rPr lang="ru-RU" sz="1000" b="1" i="0" baseline="0"/>
                      <a:t>Сан.-эпидем. благополучие населения            (Гл. 6 КоАП РФ)   </a:t>
                    </a:r>
                    <a:r>
                      <a:rPr lang="en-US" sz="1000" b="1" i="0" baseline="0"/>
                      <a:t>1984</a:t>
                    </a:r>
                    <a:endParaRPr lang="en-US" b="1"/>
                  </a:p>
                </c:rich>
              </c:tx>
              <c:showLegendKey val="0"/>
              <c:showVal val="1"/>
              <c:showCatName val="0"/>
              <c:showSerName val="0"/>
              <c:showPercent val="0"/>
              <c:showBubbleSize val="0"/>
            </c:dLbl>
            <c:dLbl>
              <c:idx val="4"/>
              <c:layout>
                <c:manualLayout>
                  <c:x val="1.5870909933077337E-2"/>
                  <c:y val="-4.185899129039968E-7"/>
                </c:manualLayout>
              </c:layout>
              <c:tx>
                <c:rich>
                  <a:bodyPr/>
                  <a:lstStyle/>
                  <a:p>
                    <a:r>
                      <a:rPr lang="ru-RU" sz="1000" b="1" i="0" baseline="0"/>
                      <a:t>Дорожное движение           (гл. 12 КоАП РФ)    </a:t>
                    </a:r>
                    <a:r>
                      <a:rPr lang="en-US" sz="1000" b="1" i="0" baseline="0"/>
                      <a:t>1194</a:t>
                    </a:r>
                    <a:endParaRPr lang="en-US" b="1"/>
                  </a:p>
                </c:rich>
              </c:tx>
              <c:showLegendKey val="0"/>
              <c:showVal val="1"/>
              <c:showCatName val="0"/>
              <c:showSerName val="0"/>
              <c:showPercent val="0"/>
              <c:showBubbleSize val="0"/>
            </c:dLbl>
            <c:dLbl>
              <c:idx val="5"/>
              <c:layout>
                <c:manualLayout>
                  <c:x val="-1.6127516195688304E-2"/>
                  <c:y val="-1.563084344706566E-4"/>
                </c:manualLayout>
              </c:layout>
              <c:tx>
                <c:rich>
                  <a:bodyPr/>
                  <a:lstStyle/>
                  <a:p>
                    <a:r>
                      <a:rPr lang="ru-RU" sz="1000" b="1" i="0" baseline="0"/>
                      <a:t>Прочие          </a:t>
                    </a:r>
                  </a:p>
                  <a:p>
                    <a:r>
                      <a:rPr lang="en-US" sz="1000" b="1" i="0" baseline="0"/>
                      <a:t>3196</a:t>
                    </a:r>
                    <a:endParaRPr lang="en-US"/>
                  </a:p>
                </c:rich>
              </c:tx>
              <c:showLegendKey val="0"/>
              <c:showVal val="1"/>
              <c:showCatName val="0"/>
              <c:showSerName val="0"/>
              <c:showPercent val="0"/>
              <c:showBubbleSize val="0"/>
            </c:dLbl>
            <c:txPr>
              <a:bodyPr/>
              <a:lstStyle/>
              <a:p>
                <a:pPr>
                  <a:defRPr sz="1000" b="1" i="0" baseline="0">
                    <a:solidFill>
                      <a:sysClr val="windowText" lastClr="000000"/>
                    </a:solidFill>
                    <a:latin typeface="Calibri" panose="020F0502020204030204" pitchFamily="34" charset="0"/>
                  </a:defRPr>
                </a:pPr>
                <a:endParaRPr lang="ru-RU"/>
              </a:p>
            </c:txPr>
            <c:showLegendKey val="0"/>
            <c:showVal val="1"/>
            <c:showCatName val="0"/>
            <c:showSerName val="0"/>
            <c:showPercent val="0"/>
            <c:showBubbleSize val="0"/>
            <c:showLeaderLines val="1"/>
          </c:dLbls>
          <c:val>
            <c:numRef>
              <c:f>'АД-коап-результаты-2014'!$C$45:$C$50</c:f>
              <c:numCache>
                <c:formatCode>General</c:formatCode>
                <c:ptCount val="6"/>
                <c:pt idx="0">
                  <c:v>10289</c:v>
                </c:pt>
                <c:pt idx="1">
                  <c:v>3414</c:v>
                </c:pt>
                <c:pt idx="2">
                  <c:v>3376</c:v>
                </c:pt>
                <c:pt idx="3">
                  <c:v>1984</c:v>
                </c:pt>
                <c:pt idx="4">
                  <c:v>1194</c:v>
                </c:pt>
                <c:pt idx="5">
                  <c:v>3196</c:v>
                </c:pt>
              </c:numCache>
            </c:numRef>
          </c:val>
        </c:ser>
        <c:ser>
          <c:idx val="1"/>
          <c:order val="1"/>
          <c:tx>
            <c:strRef>
              <c:f>'АД-коап-результаты-2014'!$B$46</c:f>
              <c:strCache>
                <c:ptCount val="1"/>
                <c:pt idx="0">
                  <c:v>Защита гос. Границы (18)</c:v>
                </c:pt>
              </c:strCache>
            </c:strRef>
          </c:tx>
          <c:val>
            <c:numRef>
              <c:f>'АД-коап-результаты-2014'!$C$46</c:f>
              <c:numCache>
                <c:formatCode>General</c:formatCode>
                <c:ptCount val="1"/>
                <c:pt idx="0">
                  <c:v>3414</c:v>
                </c:pt>
              </c:numCache>
            </c:numRef>
          </c:val>
        </c:ser>
        <c:ser>
          <c:idx val="2"/>
          <c:order val="2"/>
          <c:tx>
            <c:strRef>
              <c:f>'АД-коап-результаты-2014'!$B$47</c:f>
              <c:strCache>
                <c:ptCount val="1"/>
                <c:pt idx="0">
                  <c:v>Порядок управления (19)</c:v>
                </c:pt>
              </c:strCache>
            </c:strRef>
          </c:tx>
          <c:val>
            <c:numRef>
              <c:f>'АД-коап-результаты-2014'!$C$47</c:f>
              <c:numCache>
                <c:formatCode>General</c:formatCode>
                <c:ptCount val="1"/>
                <c:pt idx="0">
                  <c:v>3376</c:v>
                </c:pt>
              </c:numCache>
            </c:numRef>
          </c:val>
        </c:ser>
        <c:ser>
          <c:idx val="3"/>
          <c:order val="3"/>
          <c:tx>
            <c:strRef>
              <c:f>'АД-коап-результаты-2014'!$B$48</c:f>
              <c:strCache>
                <c:ptCount val="1"/>
                <c:pt idx="0">
                  <c:v>Санитарно-эпидем. благополучие (6)</c:v>
                </c:pt>
              </c:strCache>
            </c:strRef>
          </c:tx>
          <c:val>
            <c:numRef>
              <c:f>'АД-коап-результаты-2014'!$C$48</c:f>
              <c:numCache>
                <c:formatCode>General</c:formatCode>
                <c:ptCount val="1"/>
                <c:pt idx="0">
                  <c:v>1984</c:v>
                </c:pt>
              </c:numCache>
            </c:numRef>
          </c:val>
        </c:ser>
        <c:ser>
          <c:idx val="4"/>
          <c:order val="4"/>
          <c:tx>
            <c:strRef>
              <c:f>'АД-коап-результаты-2014'!$B$49</c:f>
              <c:strCache>
                <c:ptCount val="1"/>
                <c:pt idx="0">
                  <c:v>Дорожное движение</c:v>
                </c:pt>
              </c:strCache>
            </c:strRef>
          </c:tx>
          <c:val>
            <c:numRef>
              <c:f>'АД-коап-результаты-2014'!$C$49</c:f>
              <c:numCache>
                <c:formatCode>General</c:formatCode>
                <c:ptCount val="1"/>
                <c:pt idx="0">
                  <c:v>1194</c:v>
                </c:pt>
              </c:numCache>
            </c:numRef>
          </c:val>
        </c:ser>
        <c:ser>
          <c:idx val="5"/>
          <c:order val="5"/>
          <c:tx>
            <c:strRef>
              <c:f>'АД-коап-результаты-2014'!$B$50</c:f>
              <c:strCache>
                <c:ptCount val="1"/>
                <c:pt idx="0">
                  <c:v>Прочие</c:v>
                </c:pt>
              </c:strCache>
            </c:strRef>
          </c:tx>
          <c:val>
            <c:numRef>
              <c:f>'АД-коап-результаты-2014'!$C$50</c:f>
              <c:numCache>
                <c:formatCode>General</c:formatCode>
                <c:ptCount val="1"/>
                <c:pt idx="0">
                  <c:v>3196</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a:gsLst>
        <a:gs pos="0">
          <a:schemeClr val="accent3">
            <a:lumMod val="75000"/>
          </a:schemeClr>
        </a:gs>
        <a:gs pos="48000">
          <a:srgbClr val="F0EBD5"/>
        </a:gs>
        <a:gs pos="100000">
          <a:srgbClr val="FFFFCC"/>
        </a:gs>
      </a:gsLst>
      <a:lin ang="17400000" scaled="0"/>
    </a:grad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Cyr"/>
                <a:ea typeface="Arial Cyr"/>
                <a:cs typeface="Arial Cyr"/>
              </a:defRPr>
            </a:pPr>
            <a:r>
              <a:rPr lang="ru-RU" sz="1100" baseline="0">
                <a:latin typeface="Times New Roman" panose="02020603050405020304" pitchFamily="18" charset="0"/>
              </a:rPr>
              <a:t>Динамика  привлечения к административной ответственности  отдельных категорий лиц
 в 2013-2017 гг</a:t>
            </a:r>
          </a:p>
        </c:rich>
      </c:tx>
      <c:layout>
        <c:manualLayout>
          <c:xMode val="edge"/>
          <c:yMode val="edge"/>
          <c:x val="0.16810013475186283"/>
          <c:y val="1.9633979696881992E-2"/>
        </c:manualLayout>
      </c:layout>
      <c:overlay val="0"/>
      <c:spPr>
        <a:noFill/>
        <a:ln w="25400">
          <a:noFill/>
        </a:ln>
      </c:spPr>
    </c:title>
    <c:autoTitleDeleted val="0"/>
    <c:plotArea>
      <c:layout>
        <c:manualLayout>
          <c:layoutTarget val="inner"/>
          <c:xMode val="edge"/>
          <c:yMode val="edge"/>
          <c:x val="8.5241853569157117E-2"/>
          <c:y val="0.20133621989615288"/>
          <c:w val="0.87803699072665975"/>
          <c:h val="0.69175504973384239"/>
        </c:manualLayout>
      </c:layout>
      <c:lineChart>
        <c:grouping val="standard"/>
        <c:varyColors val="0"/>
        <c:ser>
          <c:idx val="0"/>
          <c:order val="0"/>
          <c:tx>
            <c:strRef>
              <c:f>'АД-коап-результаты-2014'!$B$70</c:f>
              <c:strCache>
                <c:ptCount val="1"/>
                <c:pt idx="0">
                  <c:v>Юридические лица</c:v>
                </c:pt>
              </c:strCache>
            </c:strRef>
          </c:tx>
          <c:spPr>
            <a:ln w="38100">
              <a:solidFill>
                <a:srgbClr val="FF00FF"/>
              </a:solidFill>
              <a:prstDash val="solid"/>
            </a:ln>
          </c:spPr>
          <c:marker>
            <c:symbol val="triangle"/>
            <c:size val="6"/>
            <c:spPr>
              <a:solidFill>
                <a:srgbClr val="FB77E8"/>
              </a:solidFill>
              <a:ln>
                <a:solidFill>
                  <a:srgbClr val="000080"/>
                </a:solidFill>
                <a:prstDash val="solid"/>
              </a:ln>
            </c:spPr>
          </c:marker>
          <c:dLbls>
            <c:dLbl>
              <c:idx val="0"/>
              <c:layout>
                <c:manualLayout>
                  <c:x val="-5.3856137165030647E-2"/>
                  <c:y val="-2.5530471031616195E-2"/>
                </c:manualLayout>
              </c:layout>
              <c:dLblPos val="r"/>
              <c:showLegendKey val="0"/>
              <c:showVal val="1"/>
              <c:showCatName val="0"/>
              <c:showSerName val="0"/>
              <c:showPercent val="0"/>
              <c:showBubbleSize val="0"/>
            </c:dLbl>
            <c:dLbl>
              <c:idx val="2"/>
              <c:spPr/>
              <c:txPr>
                <a:bodyPr/>
                <a:lstStyle/>
                <a:p>
                  <a:pPr>
                    <a:defRPr sz="1000" b="1" i="0" baseline="0">
                      <a:solidFill>
                        <a:srgbClr val="FF00FF"/>
                      </a:solidFill>
                      <a:latin typeface="Calibri" panose="020F0502020204030204" pitchFamily="34" charset="0"/>
                    </a:defRPr>
                  </a:pPr>
                  <a:endParaRPr lang="ru-RU"/>
                </a:p>
              </c:txPr>
              <c:dLblPos val="t"/>
              <c:showLegendKey val="0"/>
              <c:showVal val="1"/>
              <c:showCatName val="0"/>
              <c:showSerName val="0"/>
              <c:showPercent val="0"/>
              <c:showBubbleSize val="0"/>
            </c:dLbl>
            <c:dLbl>
              <c:idx val="3"/>
              <c:spPr/>
              <c:txPr>
                <a:bodyPr/>
                <a:lstStyle/>
                <a:p>
                  <a:pPr>
                    <a:defRPr sz="1000" b="1" i="0" baseline="0">
                      <a:solidFill>
                        <a:srgbClr val="FF00FF"/>
                      </a:solidFill>
                      <a:latin typeface="Calibri" panose="020F0502020204030204" pitchFamily="34" charset="0"/>
                    </a:defRPr>
                  </a:pPr>
                  <a:endParaRPr lang="ru-RU"/>
                </a:p>
              </c:txPr>
              <c:dLblPos val="t"/>
              <c:showLegendKey val="0"/>
              <c:showVal val="1"/>
              <c:showCatName val="0"/>
              <c:showSerName val="0"/>
              <c:showPercent val="0"/>
              <c:showBubbleSize val="0"/>
            </c:dLbl>
            <c:dLbl>
              <c:idx val="4"/>
              <c:spPr/>
              <c:txPr>
                <a:bodyPr/>
                <a:lstStyle/>
                <a:p>
                  <a:pPr>
                    <a:defRPr sz="1000" b="1" i="0" baseline="0">
                      <a:solidFill>
                        <a:srgbClr val="FF00FF"/>
                      </a:solidFill>
                      <a:latin typeface="Calibri" panose="020F0502020204030204" pitchFamily="34" charset="0"/>
                    </a:defRPr>
                  </a:pPr>
                  <a:endParaRPr lang="ru-RU"/>
                </a:p>
              </c:txPr>
              <c:dLblPos val="t"/>
              <c:showLegendKey val="0"/>
              <c:showVal val="1"/>
              <c:showCatName val="0"/>
              <c:showSerName val="0"/>
              <c:showPercent val="0"/>
              <c:showBubbleSize val="0"/>
            </c:dLbl>
            <c:txPr>
              <a:bodyPr/>
              <a:lstStyle/>
              <a:p>
                <a:pPr>
                  <a:defRPr sz="1000" b="1" i="0" baseline="0">
                    <a:solidFill>
                      <a:srgbClr val="CC00CC"/>
                    </a:solidFill>
                    <a:latin typeface="Calibri" panose="020F0502020204030204" pitchFamily="34" charset="0"/>
                  </a:defRPr>
                </a:pPr>
                <a:endParaRPr lang="ru-RU"/>
              </a:p>
            </c:txPr>
            <c:dLblPos val="t"/>
            <c:showLegendKey val="0"/>
            <c:showVal val="1"/>
            <c:showCatName val="0"/>
            <c:showSerName val="0"/>
            <c:showPercent val="0"/>
            <c:showBubbleSize val="0"/>
            <c:showLeaderLines val="0"/>
          </c:dLbls>
          <c:cat>
            <c:numRef>
              <c:f>'АД-коап-результаты-2014'!$D$69:$G$69</c:f>
              <c:numCache>
                <c:formatCode>General</c:formatCode>
                <c:ptCount val="4"/>
                <c:pt idx="0">
                  <c:v>2014</c:v>
                </c:pt>
                <c:pt idx="1">
                  <c:v>2015</c:v>
                </c:pt>
                <c:pt idx="2">
                  <c:v>2016</c:v>
                </c:pt>
                <c:pt idx="3">
                  <c:v>2017</c:v>
                </c:pt>
              </c:numCache>
            </c:numRef>
          </c:cat>
          <c:val>
            <c:numRef>
              <c:f>'АД-коап-результаты-2014'!$C$70:$G$70</c:f>
              <c:numCache>
                <c:formatCode>General</c:formatCode>
                <c:ptCount val="5"/>
                <c:pt idx="0">
                  <c:v>435</c:v>
                </c:pt>
                <c:pt idx="1">
                  <c:v>690</c:v>
                </c:pt>
                <c:pt idx="2">
                  <c:v>932</c:v>
                </c:pt>
                <c:pt idx="3">
                  <c:v>1432</c:v>
                </c:pt>
                <c:pt idx="4" formatCode="#,##0">
                  <c:v>892</c:v>
                </c:pt>
              </c:numCache>
            </c:numRef>
          </c:val>
          <c:smooth val="0"/>
        </c:ser>
        <c:ser>
          <c:idx val="1"/>
          <c:order val="1"/>
          <c:tx>
            <c:strRef>
              <c:f>'АД-коап-результаты-2014'!$B$71</c:f>
              <c:strCache>
                <c:ptCount val="1"/>
                <c:pt idx="0">
                  <c:v>Должностные лица</c:v>
                </c:pt>
              </c:strCache>
            </c:strRef>
          </c:tx>
          <c:spPr>
            <a:ln w="38100" cmpd="sng">
              <a:solidFill>
                <a:srgbClr val="FFFF00"/>
              </a:solidFill>
            </a:ln>
          </c:spPr>
          <c:marker>
            <c:symbol val="square"/>
            <c:size val="6"/>
            <c:spPr>
              <a:solidFill>
                <a:srgbClr val="FFFF00"/>
              </a:solidFill>
              <a:ln>
                <a:solidFill>
                  <a:srgbClr val="7030A0"/>
                </a:solidFill>
              </a:ln>
            </c:spPr>
          </c:marker>
          <c:dLbls>
            <c:dLbl>
              <c:idx val="0"/>
              <c:layout>
                <c:manualLayout>
                  <c:x val="-7.0231413006962465E-2"/>
                  <c:y val="2.2503160811591393E-2"/>
                </c:manualLayout>
              </c:layout>
              <c:dLblPos val="r"/>
              <c:showLegendKey val="0"/>
              <c:showVal val="1"/>
              <c:showCatName val="0"/>
              <c:showSerName val="0"/>
              <c:showPercent val="0"/>
              <c:showBubbleSize val="0"/>
            </c:dLbl>
            <c:dLbl>
              <c:idx val="1"/>
              <c:layout>
                <c:manualLayout>
                  <c:x val="-2.1105585481167026E-2"/>
                  <c:y val="-4.8728606455730461E-2"/>
                </c:manualLayout>
              </c:layout>
              <c:dLblPos val="r"/>
              <c:showLegendKey val="0"/>
              <c:showVal val="1"/>
              <c:showCatName val="0"/>
              <c:showSerName val="0"/>
              <c:showPercent val="0"/>
              <c:showBubbleSize val="0"/>
            </c:dLbl>
            <c:dLbl>
              <c:idx val="2"/>
              <c:layout>
                <c:manualLayout>
                  <c:x val="-2.2594246921342702E-2"/>
                  <c:y val="3.3216797340474953E-2"/>
                </c:manualLayout>
              </c:layout>
              <c:dLblPos val="r"/>
              <c:showLegendKey val="0"/>
              <c:showVal val="1"/>
              <c:showCatName val="0"/>
              <c:showSerName val="0"/>
              <c:showPercent val="0"/>
              <c:showBubbleSize val="0"/>
            </c:dLbl>
            <c:dLbl>
              <c:idx val="3"/>
              <c:layout>
                <c:manualLayout>
                  <c:x val="-3.3014877002571982E-2"/>
                  <c:y val="3.3509821995434362E-2"/>
                </c:manualLayout>
              </c:layout>
              <c:dLblPos val="r"/>
              <c:showLegendKey val="0"/>
              <c:showVal val="1"/>
              <c:showCatName val="0"/>
              <c:showSerName val="0"/>
              <c:showPercent val="0"/>
              <c:showBubbleSize val="0"/>
            </c:dLbl>
            <c:dLbl>
              <c:idx val="4"/>
              <c:layout>
                <c:manualLayout>
                  <c:x val="-2.7060231241869615E-2"/>
                  <c:y val="3.3509821995434265E-2"/>
                </c:manualLayout>
              </c:layout>
              <c:dLblPos val="r"/>
              <c:showLegendKey val="0"/>
              <c:showVal val="1"/>
              <c:showCatName val="0"/>
              <c:showSerName val="0"/>
              <c:showPercent val="0"/>
              <c:showBubbleSize val="0"/>
            </c:dLbl>
            <c:txPr>
              <a:bodyPr/>
              <a:lstStyle/>
              <a:p>
                <a:pPr>
                  <a:defRPr sz="1000" b="1" i="0" baseline="0">
                    <a:solidFill>
                      <a:srgbClr val="FFFF00"/>
                    </a:solidFill>
                    <a:latin typeface="Calibri" panose="020F0502020204030204" pitchFamily="34" charset="0"/>
                  </a:defRPr>
                </a:pPr>
                <a:endParaRPr lang="ru-RU"/>
              </a:p>
            </c:txPr>
            <c:dLblPos val="t"/>
            <c:showLegendKey val="0"/>
            <c:showVal val="1"/>
            <c:showCatName val="0"/>
            <c:showSerName val="0"/>
            <c:showPercent val="0"/>
            <c:showBubbleSize val="0"/>
            <c:showLeaderLines val="0"/>
          </c:dLbls>
          <c:cat>
            <c:numRef>
              <c:f>'АД-коап-результаты-2014'!$D$69:$G$69</c:f>
              <c:numCache>
                <c:formatCode>General</c:formatCode>
                <c:ptCount val="4"/>
                <c:pt idx="0">
                  <c:v>2014</c:v>
                </c:pt>
                <c:pt idx="1">
                  <c:v>2015</c:v>
                </c:pt>
                <c:pt idx="2">
                  <c:v>2016</c:v>
                </c:pt>
                <c:pt idx="3">
                  <c:v>2017</c:v>
                </c:pt>
              </c:numCache>
            </c:numRef>
          </c:cat>
          <c:val>
            <c:numRef>
              <c:f>'АД-коап-результаты-2014'!$C$71:$G$71</c:f>
              <c:numCache>
                <c:formatCode>General</c:formatCode>
                <c:ptCount val="5"/>
                <c:pt idx="0">
                  <c:v>302</c:v>
                </c:pt>
                <c:pt idx="1">
                  <c:v>270</c:v>
                </c:pt>
                <c:pt idx="2">
                  <c:v>164</c:v>
                </c:pt>
                <c:pt idx="3">
                  <c:v>168</c:v>
                </c:pt>
                <c:pt idx="4" formatCode="#,##0">
                  <c:v>200</c:v>
                </c:pt>
              </c:numCache>
            </c:numRef>
          </c:val>
          <c:smooth val="0"/>
        </c:ser>
        <c:ser>
          <c:idx val="2"/>
          <c:order val="2"/>
          <c:tx>
            <c:strRef>
              <c:f>'АД-коап-результаты-2014'!$B$72</c:f>
              <c:strCache>
                <c:ptCount val="1"/>
                <c:pt idx="0">
                  <c:v>Предприниматели </c:v>
                </c:pt>
              </c:strCache>
            </c:strRef>
          </c:tx>
          <c:spPr>
            <a:ln w="38100" cmpd="sng">
              <a:solidFill>
                <a:srgbClr val="00FF00"/>
              </a:solidFill>
            </a:ln>
          </c:spPr>
          <c:marker>
            <c:symbol val="circle"/>
            <c:size val="6"/>
            <c:spPr>
              <a:solidFill>
                <a:srgbClr val="00FF00"/>
              </a:solidFill>
              <a:ln>
                <a:solidFill>
                  <a:srgbClr val="006600"/>
                </a:solidFill>
                <a:headEnd type="arrow"/>
                <a:tailEnd type="stealth"/>
              </a:ln>
            </c:spPr>
          </c:marker>
          <c:dLbls>
            <c:dLbl>
              <c:idx val="0"/>
              <c:layout>
                <c:manualLayout>
                  <c:x val="-2.259049596338315E-2"/>
                  <c:y val="3.9856038063848881E-2"/>
                </c:manualLayout>
              </c:layout>
              <c:dLblPos val="r"/>
              <c:showLegendKey val="0"/>
              <c:showVal val="1"/>
              <c:showCatName val="0"/>
              <c:showSerName val="0"/>
              <c:showPercent val="0"/>
              <c:showBubbleSize val="0"/>
            </c:dLbl>
            <c:dLbl>
              <c:idx val="1"/>
              <c:layout>
                <c:manualLayout>
                  <c:x val="-2.5567818843734387E-2"/>
                  <c:y val="3.9856038063848881E-2"/>
                </c:manualLayout>
              </c:layout>
              <c:dLblPos val="r"/>
              <c:showLegendKey val="0"/>
              <c:showVal val="1"/>
              <c:showCatName val="0"/>
              <c:showSerName val="0"/>
              <c:showPercent val="0"/>
              <c:showBubbleSize val="0"/>
            </c:dLbl>
            <c:dLbl>
              <c:idx val="2"/>
              <c:layout>
                <c:manualLayout>
                  <c:x val="-2.8545258941521861E-2"/>
                  <c:y val="-5.2484014170130433E-2"/>
                </c:manualLayout>
              </c:layout>
              <c:dLblPos val="r"/>
              <c:showLegendKey val="0"/>
              <c:showVal val="1"/>
              <c:showCatName val="0"/>
              <c:showSerName val="0"/>
              <c:showPercent val="0"/>
              <c:showBubbleSize val="0"/>
            </c:dLbl>
            <c:dLbl>
              <c:idx val="3"/>
              <c:spPr/>
              <c:txPr>
                <a:bodyPr/>
                <a:lstStyle/>
                <a:p>
                  <a:pPr>
                    <a:defRPr sz="1000" b="1" i="0" baseline="0">
                      <a:solidFill>
                        <a:srgbClr val="00FF00"/>
                      </a:solidFill>
                      <a:latin typeface="Calibri" panose="020F0502020204030204" pitchFamily="34" charset="0"/>
                    </a:defRPr>
                  </a:pPr>
                  <a:endParaRPr lang="ru-RU"/>
                </a:p>
              </c:txPr>
              <c:dLblPos val="t"/>
              <c:showLegendKey val="0"/>
              <c:showVal val="1"/>
              <c:showCatName val="0"/>
              <c:showSerName val="0"/>
              <c:showPercent val="0"/>
              <c:showBubbleSize val="0"/>
            </c:dLbl>
            <c:dLbl>
              <c:idx val="4"/>
              <c:spPr/>
              <c:txPr>
                <a:bodyPr/>
                <a:lstStyle/>
                <a:p>
                  <a:pPr>
                    <a:defRPr sz="1000" b="1" i="0" baseline="0">
                      <a:solidFill>
                        <a:srgbClr val="00FF00"/>
                      </a:solidFill>
                      <a:latin typeface="Calibri" panose="020F0502020204030204" pitchFamily="34" charset="0"/>
                    </a:defRPr>
                  </a:pPr>
                  <a:endParaRPr lang="ru-RU"/>
                </a:p>
              </c:txPr>
              <c:dLblPos val="t"/>
              <c:showLegendKey val="0"/>
              <c:showVal val="1"/>
              <c:showCatName val="0"/>
              <c:showSerName val="0"/>
              <c:showPercent val="0"/>
              <c:showBubbleSize val="0"/>
            </c:dLbl>
            <c:txPr>
              <a:bodyPr/>
              <a:lstStyle/>
              <a:p>
                <a:pPr>
                  <a:defRPr sz="1000" b="1" i="0" baseline="0">
                    <a:solidFill>
                      <a:srgbClr val="006600"/>
                    </a:solidFill>
                    <a:latin typeface="Calibri" panose="020F0502020204030204" pitchFamily="34" charset="0"/>
                  </a:defRPr>
                </a:pPr>
                <a:endParaRPr lang="ru-RU"/>
              </a:p>
            </c:txPr>
            <c:dLblPos val="t"/>
            <c:showLegendKey val="0"/>
            <c:showVal val="1"/>
            <c:showCatName val="0"/>
            <c:showSerName val="0"/>
            <c:showPercent val="0"/>
            <c:showBubbleSize val="0"/>
            <c:showLeaderLines val="0"/>
          </c:dLbls>
          <c:cat>
            <c:numRef>
              <c:f>'АД-коап-результаты-2014'!$D$69:$G$69</c:f>
              <c:numCache>
                <c:formatCode>General</c:formatCode>
                <c:ptCount val="4"/>
                <c:pt idx="0">
                  <c:v>2014</c:v>
                </c:pt>
                <c:pt idx="1">
                  <c:v>2015</c:v>
                </c:pt>
                <c:pt idx="2">
                  <c:v>2016</c:v>
                </c:pt>
                <c:pt idx="3">
                  <c:v>2017</c:v>
                </c:pt>
              </c:numCache>
            </c:numRef>
          </c:cat>
          <c:val>
            <c:numRef>
              <c:f>'АД-коап-результаты-2014'!$C$72:$G$72</c:f>
              <c:numCache>
                <c:formatCode>General</c:formatCode>
                <c:ptCount val="5"/>
                <c:pt idx="0">
                  <c:v>161</c:v>
                </c:pt>
                <c:pt idx="1">
                  <c:v>217</c:v>
                </c:pt>
                <c:pt idx="2">
                  <c:v>253</c:v>
                </c:pt>
                <c:pt idx="3">
                  <c:v>351</c:v>
                </c:pt>
                <c:pt idx="4" formatCode="#,##0">
                  <c:v>346</c:v>
                </c:pt>
              </c:numCache>
            </c:numRef>
          </c:val>
          <c:smooth val="0"/>
        </c:ser>
        <c:dLbls>
          <c:dLblPos val="t"/>
          <c:showLegendKey val="0"/>
          <c:showVal val="1"/>
          <c:showCatName val="0"/>
          <c:showSerName val="0"/>
          <c:showPercent val="0"/>
          <c:showBubbleSize val="0"/>
        </c:dLbls>
        <c:marker val="1"/>
        <c:smooth val="0"/>
        <c:axId val="273082624"/>
        <c:axId val="273088512"/>
      </c:lineChart>
      <c:catAx>
        <c:axId val="2730826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panose="020F0502020204030204" pitchFamily="34" charset="0"/>
                <a:ea typeface="Arial Cyr"/>
                <a:cs typeface="Arial Cyr"/>
              </a:defRPr>
            </a:pPr>
            <a:endParaRPr lang="ru-RU"/>
          </a:p>
        </c:txPr>
        <c:crossAx val="273088512"/>
        <c:crosses val="autoZero"/>
        <c:auto val="1"/>
        <c:lblAlgn val="ctr"/>
        <c:lblOffset val="100"/>
        <c:tickLblSkip val="1"/>
        <c:tickMarkSkip val="1"/>
        <c:noMultiLvlLbl val="0"/>
      </c:catAx>
      <c:valAx>
        <c:axId val="27308851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73082624"/>
        <c:crosses val="autoZero"/>
        <c:crossBetween val="between"/>
      </c:valAx>
      <c:spPr>
        <a:noFill/>
        <a:ln w="25400">
          <a:noFill/>
        </a:ln>
      </c:spPr>
    </c:plotArea>
    <c:legend>
      <c:legendPos val="t"/>
      <c:layout>
        <c:manualLayout>
          <c:xMode val="edge"/>
          <c:yMode val="edge"/>
          <c:x val="7.036324983632955E-2"/>
          <c:y val="0.22907680575058637"/>
          <c:w val="0.24466748578211103"/>
          <c:h val="0.3340146338745959"/>
        </c:manualLayout>
      </c:layout>
      <c:overlay val="0"/>
      <c:txPr>
        <a:bodyPr/>
        <a:lstStyle/>
        <a:p>
          <a:pPr>
            <a:defRPr sz="1000" b="0" i="1" baseline="0">
              <a:latin typeface="Calibri" panose="020F0502020204030204" pitchFamily="34" charset="0"/>
            </a:defRPr>
          </a:pPr>
          <a:endParaRPr lang="ru-RU"/>
        </a:p>
      </c:txPr>
    </c:legend>
    <c:plotVisOnly val="1"/>
    <c:dispBlanksAs val="gap"/>
    <c:showDLblsOverMax val="0"/>
  </c:chart>
  <c:spPr>
    <a:gradFill rotWithShape="0">
      <a:gsLst>
        <a:gs pos="0">
          <a:srgbClr xmlns:mc="http://schemas.openxmlformats.org/markup-compatibility/2006" xmlns:a14="http://schemas.microsoft.com/office/drawing/2010/main" val="CCCCFF" mc:Ignorable="a14" a14:legacySpreadsheetColorIndex="31"/>
        </a:gs>
        <a:gs pos="100000">
          <a:srgbClr xmlns:mc="http://schemas.openxmlformats.org/markup-compatibility/2006" xmlns:a14="http://schemas.microsoft.com/office/drawing/2010/main" val="000000" mc:Ignorable="a14" a14:legacySpreadsheetColorIndex="31">
            <a:gamma/>
            <a:shade val="46275"/>
            <a:invGamma/>
          </a:srgbClr>
        </a:gs>
      </a:gsLst>
      <a:lin ang="18900000" scaled="1"/>
    </a:gra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baseline="0"/>
              <a:t>Динамика изменения показателя 
"Количество оконченных дел" мировыми судьями РТ</a:t>
            </a:r>
          </a:p>
        </c:rich>
      </c:tx>
      <c:layout>
        <c:manualLayout>
          <c:xMode val="edge"/>
          <c:yMode val="edge"/>
          <c:x val="0.19274731140679507"/>
          <c:y val="1.8193771614571419E-2"/>
        </c:manualLayout>
      </c:layout>
      <c:overlay val="0"/>
      <c:spPr>
        <a:noFill/>
        <a:ln w="25400">
          <a:noFill/>
        </a:ln>
      </c:spPr>
    </c:title>
    <c:autoTitleDeleted val="0"/>
    <c:plotArea>
      <c:layout>
        <c:manualLayout>
          <c:layoutTarget val="inner"/>
          <c:xMode val="edge"/>
          <c:yMode val="edge"/>
          <c:x val="0.26482147705674719"/>
          <c:y val="0.15643308266189604"/>
          <c:w val="0.72424032404442384"/>
          <c:h val="0.72181019335139596"/>
        </c:manualLayout>
      </c:layout>
      <c:lineChart>
        <c:grouping val="standard"/>
        <c:varyColors val="0"/>
        <c:ser>
          <c:idx val="0"/>
          <c:order val="0"/>
          <c:tx>
            <c:strRef>
              <c:f>Моидиаграммпомир!$A$15</c:f>
              <c:strCache>
                <c:ptCount val="1"/>
                <c:pt idx="0">
                  <c:v>Уголовные </c:v>
                </c:pt>
              </c:strCache>
            </c:strRef>
          </c:tx>
          <c:spPr>
            <a:ln w="38100">
              <a:solidFill>
                <a:srgbClr val="000080"/>
              </a:solidFill>
              <a:prstDash val="solid"/>
            </a:ln>
          </c:spPr>
          <c:marker>
            <c:symbol val="diamond"/>
            <c:size val="6"/>
            <c:spPr>
              <a:solidFill>
                <a:srgbClr val="00FFFF"/>
              </a:solidFill>
              <a:ln>
                <a:solidFill>
                  <a:srgbClr val="000080"/>
                </a:solidFill>
                <a:prstDash val="solid"/>
              </a:ln>
            </c:spPr>
          </c:marker>
          <c:dLbls>
            <c:dLbl>
              <c:idx val="0"/>
              <c:layout>
                <c:manualLayout>
                  <c:x val="-4.7823775821662952E-2"/>
                  <c:y val="-4.5229314112489254E-2"/>
                </c:manualLayout>
              </c:layout>
              <c:dLblPos val="r"/>
              <c:showLegendKey val="0"/>
              <c:showVal val="1"/>
              <c:showCatName val="0"/>
              <c:showSerName val="0"/>
              <c:showPercent val="0"/>
              <c:showBubbleSize val="0"/>
            </c:dLbl>
            <c:dLbl>
              <c:idx val="1"/>
              <c:layout>
                <c:manualLayout>
                  <c:x val="-5.14633044838778E-2"/>
                  <c:y val="-5.1244800378512728E-2"/>
                </c:manualLayout>
              </c:layout>
              <c:dLblPos val="r"/>
              <c:showLegendKey val="0"/>
              <c:showVal val="1"/>
              <c:showCatName val="0"/>
              <c:showSerName val="0"/>
              <c:showPercent val="0"/>
              <c:showBubbleSize val="0"/>
            </c:dLbl>
            <c:dLbl>
              <c:idx val="2"/>
              <c:layout>
                <c:manualLayout>
                  <c:x val="-3.9170101996631554E-2"/>
                  <c:y val="-3.6804903680945314E-2"/>
                </c:manualLayout>
              </c:layout>
              <c:dLblPos val="r"/>
              <c:showLegendKey val="0"/>
              <c:showVal val="1"/>
              <c:showCatName val="0"/>
              <c:showSerName val="0"/>
              <c:showPercent val="0"/>
              <c:showBubbleSize val="0"/>
            </c:dLbl>
            <c:dLbl>
              <c:idx val="3"/>
              <c:layout>
                <c:manualLayout>
                  <c:x val="-1.1970910375231781E-3"/>
                  <c:y val="-4.4629208850870287E-2"/>
                </c:manualLayout>
              </c:layout>
              <c:dLblPos val="r"/>
              <c:showLegendKey val="0"/>
              <c:showVal val="1"/>
              <c:showCatName val="0"/>
              <c:showSerName val="0"/>
              <c:showPercent val="0"/>
              <c:showBubbleSize val="0"/>
            </c:dLbl>
            <c:dLbl>
              <c:idx val="4"/>
              <c:layout>
                <c:manualLayout>
                  <c:x val="-2.8119605960138117E-2"/>
                  <c:y val="-4.2916348206520308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000080"/>
                    </a:solidFill>
                    <a:latin typeface="Calibri" panose="020F0502020204030204" pitchFamily="34" charset="0"/>
                    <a:ea typeface="Times New Roman"/>
                    <a:cs typeface="Times New Roman"/>
                  </a:defRPr>
                </a:pPr>
                <a:endParaRPr lang="ru-RU"/>
              </a:p>
            </c:txPr>
            <c:showLegendKey val="0"/>
            <c:showVal val="1"/>
            <c:showCatName val="0"/>
            <c:showSerName val="0"/>
            <c:showPercent val="0"/>
            <c:showBubbleSize val="0"/>
            <c:showLeaderLines val="0"/>
          </c:dLbls>
          <c:cat>
            <c:numRef>
              <c:f>Моидиаграммпомир!$B$14:$F$14</c:f>
              <c:numCache>
                <c:formatCode>General</c:formatCode>
                <c:ptCount val="5"/>
                <c:pt idx="0">
                  <c:v>2013</c:v>
                </c:pt>
                <c:pt idx="1">
                  <c:v>2014</c:v>
                </c:pt>
                <c:pt idx="2">
                  <c:v>2015</c:v>
                </c:pt>
                <c:pt idx="3">
                  <c:v>2016</c:v>
                </c:pt>
                <c:pt idx="4">
                  <c:v>2017</c:v>
                </c:pt>
              </c:numCache>
            </c:numRef>
          </c:cat>
          <c:val>
            <c:numRef>
              <c:f>Моидиаграммпомир!$B$15:$F$15</c:f>
              <c:numCache>
                <c:formatCode>General</c:formatCode>
                <c:ptCount val="5"/>
                <c:pt idx="0">
                  <c:v>8879</c:v>
                </c:pt>
                <c:pt idx="1">
                  <c:v>8372</c:v>
                </c:pt>
                <c:pt idx="2">
                  <c:v>9444</c:v>
                </c:pt>
                <c:pt idx="3">
                  <c:v>10142</c:v>
                </c:pt>
                <c:pt idx="4">
                  <c:v>9487</c:v>
                </c:pt>
              </c:numCache>
            </c:numRef>
          </c:val>
          <c:smooth val="0"/>
        </c:ser>
        <c:ser>
          <c:idx val="1"/>
          <c:order val="1"/>
          <c:tx>
            <c:strRef>
              <c:f>Моидиаграммпомир!$A$16</c:f>
              <c:strCache>
                <c:ptCount val="1"/>
                <c:pt idx="0">
                  <c:v>Гражданские </c:v>
                </c:pt>
              </c:strCache>
            </c:strRef>
          </c:tx>
          <c:spPr>
            <a:ln w="25400">
              <a:solidFill>
                <a:srgbClr val="FF0000"/>
              </a:solidFill>
              <a:prstDash val="solid"/>
            </a:ln>
          </c:spPr>
          <c:marker>
            <c:symbol val="square"/>
            <c:size val="6"/>
            <c:spPr>
              <a:solidFill>
                <a:srgbClr val="FFFF00"/>
              </a:solidFill>
              <a:ln>
                <a:solidFill>
                  <a:srgbClr val="FF0000"/>
                </a:solidFill>
                <a:prstDash val="solid"/>
              </a:ln>
            </c:spPr>
          </c:marker>
          <c:dPt>
            <c:idx val="2"/>
            <c:bubble3D val="0"/>
          </c:dPt>
          <c:dLbls>
            <c:dLbl>
              <c:idx val="0"/>
              <c:layout>
                <c:manualLayout>
                  <c:x val="-7.4138880599650833E-2"/>
                  <c:y val="4.2757645699346244E-2"/>
                </c:manualLayout>
              </c:layout>
              <c:dLblPos val="r"/>
              <c:showLegendKey val="0"/>
              <c:showVal val="1"/>
              <c:showCatName val="0"/>
              <c:showSerName val="0"/>
              <c:showPercent val="0"/>
              <c:showBubbleSize val="0"/>
            </c:dLbl>
            <c:dLbl>
              <c:idx val="1"/>
              <c:layout>
                <c:manualLayout>
                  <c:x val="-6.347233913156855E-2"/>
                  <c:y val="3.8513784020272265E-2"/>
                </c:manualLayout>
              </c:layout>
              <c:dLblPos val="r"/>
              <c:showLegendKey val="0"/>
              <c:showVal val="1"/>
              <c:showCatName val="0"/>
              <c:showSerName val="0"/>
              <c:showPercent val="0"/>
              <c:showBubbleSize val="0"/>
            </c:dLbl>
            <c:dLbl>
              <c:idx val="2"/>
              <c:layout>
                <c:manualLayout>
                  <c:x val="-6.3724173166204878E-2"/>
                  <c:y val="6.5595149803087074E-2"/>
                </c:manualLayout>
              </c:layout>
              <c:dLblPos val="r"/>
              <c:showLegendKey val="0"/>
              <c:showVal val="1"/>
              <c:showCatName val="0"/>
              <c:showSerName val="0"/>
              <c:showPercent val="0"/>
              <c:showBubbleSize val="0"/>
            </c:dLbl>
            <c:dLbl>
              <c:idx val="3"/>
              <c:layout>
                <c:manualLayout>
                  <c:x val="-4.8479760200135558E-2"/>
                  <c:y val="3.4987405656156975E-2"/>
                </c:manualLayout>
              </c:layout>
              <c:dLblPos val="r"/>
              <c:showLegendKey val="0"/>
              <c:showVal val="1"/>
              <c:showCatName val="0"/>
              <c:showSerName val="0"/>
              <c:showPercent val="0"/>
              <c:showBubbleSize val="0"/>
            </c:dLbl>
            <c:dLbl>
              <c:idx val="4"/>
              <c:layout>
                <c:manualLayout>
                  <c:x val="-6.9959338197437729E-2"/>
                  <c:y val="4.3798221064689044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FF0000"/>
                    </a:solidFill>
                    <a:latin typeface="Calibri" panose="020F0502020204030204" pitchFamily="34" charset="0"/>
                    <a:ea typeface="Times New Roman"/>
                    <a:cs typeface="Times New Roman"/>
                  </a:defRPr>
                </a:pPr>
                <a:endParaRPr lang="ru-RU"/>
              </a:p>
            </c:txPr>
            <c:showLegendKey val="0"/>
            <c:showVal val="1"/>
            <c:showCatName val="0"/>
            <c:showSerName val="0"/>
            <c:showPercent val="0"/>
            <c:showBubbleSize val="0"/>
            <c:showLeaderLines val="0"/>
          </c:dLbls>
          <c:cat>
            <c:numRef>
              <c:f>Моидиаграммпомир!$B$14:$F$14</c:f>
              <c:numCache>
                <c:formatCode>General</c:formatCode>
                <c:ptCount val="5"/>
                <c:pt idx="0">
                  <c:v>2013</c:v>
                </c:pt>
                <c:pt idx="1">
                  <c:v>2014</c:v>
                </c:pt>
                <c:pt idx="2">
                  <c:v>2015</c:v>
                </c:pt>
                <c:pt idx="3">
                  <c:v>2016</c:v>
                </c:pt>
                <c:pt idx="4">
                  <c:v>2017</c:v>
                </c:pt>
              </c:numCache>
            </c:numRef>
          </c:cat>
          <c:val>
            <c:numRef>
              <c:f>Моидиаграммпомир!$B$16:$F$16</c:f>
              <c:numCache>
                <c:formatCode>General</c:formatCode>
                <c:ptCount val="5"/>
                <c:pt idx="0">
                  <c:v>345912</c:v>
                </c:pt>
                <c:pt idx="1">
                  <c:v>271827</c:v>
                </c:pt>
                <c:pt idx="2">
                  <c:v>299351</c:v>
                </c:pt>
                <c:pt idx="3">
                  <c:v>220305</c:v>
                </c:pt>
                <c:pt idx="4">
                  <c:v>235971</c:v>
                </c:pt>
              </c:numCache>
            </c:numRef>
          </c:val>
          <c:smooth val="0"/>
        </c:ser>
        <c:ser>
          <c:idx val="2"/>
          <c:order val="2"/>
          <c:tx>
            <c:strRef>
              <c:f>Моидиаграммпомир!$A$17</c:f>
              <c:strCache>
                <c:ptCount val="1"/>
                <c:pt idx="0">
                  <c:v>Административные</c:v>
                </c:pt>
              </c:strCache>
            </c:strRef>
          </c:tx>
          <c:spPr>
            <a:ln w="38100">
              <a:solidFill>
                <a:srgbClr val="008000"/>
              </a:solidFill>
              <a:prstDash val="solid"/>
            </a:ln>
          </c:spPr>
          <c:marker>
            <c:symbol val="triangle"/>
            <c:size val="8"/>
            <c:spPr>
              <a:solidFill>
                <a:srgbClr val="FFCC00"/>
              </a:solidFill>
              <a:ln>
                <a:solidFill>
                  <a:srgbClr val="339966"/>
                </a:solidFill>
                <a:prstDash val="solid"/>
              </a:ln>
            </c:spPr>
          </c:marker>
          <c:dLbls>
            <c:dLbl>
              <c:idx val="0"/>
              <c:layout>
                <c:manualLayout>
                  <c:x val="-6.256820569595227E-2"/>
                  <c:y val="6.0077963116452547E-2"/>
                </c:manualLayout>
              </c:layout>
              <c:dLblPos val="r"/>
              <c:showLegendKey val="0"/>
              <c:showVal val="1"/>
              <c:showCatName val="0"/>
              <c:showSerName val="0"/>
              <c:showPercent val="0"/>
              <c:showBubbleSize val="0"/>
            </c:dLbl>
            <c:dLbl>
              <c:idx val="1"/>
              <c:layout>
                <c:manualLayout>
                  <c:x val="-6.1016702628814153E-2"/>
                  <c:y val="5.858241815167841E-2"/>
                </c:manualLayout>
              </c:layout>
              <c:dLblPos val="r"/>
              <c:showLegendKey val="0"/>
              <c:showVal val="1"/>
              <c:showCatName val="0"/>
              <c:showSerName val="0"/>
              <c:showPercent val="0"/>
              <c:showBubbleSize val="0"/>
            </c:dLbl>
            <c:dLbl>
              <c:idx val="2"/>
              <c:layout>
                <c:manualLayout>
                  <c:x val="-5.7503756255719109E-2"/>
                  <c:y val="5.7475911728139248E-2"/>
                </c:manualLayout>
              </c:layout>
              <c:dLblPos val="r"/>
              <c:showLegendKey val="0"/>
              <c:showVal val="1"/>
              <c:showCatName val="0"/>
              <c:showSerName val="0"/>
              <c:showPercent val="0"/>
              <c:showBubbleSize val="0"/>
            </c:dLbl>
            <c:dLbl>
              <c:idx val="3"/>
              <c:layout>
                <c:manualLayout>
                  <c:x val="-7.1660006770607659E-2"/>
                  <c:y val="3.0951301364981202E-2"/>
                </c:manualLayout>
              </c:layout>
              <c:dLblPos val="r"/>
              <c:showLegendKey val="0"/>
              <c:showVal val="1"/>
              <c:showCatName val="0"/>
              <c:showSerName val="0"/>
              <c:showPercent val="0"/>
              <c:showBubbleSize val="0"/>
            </c:dLbl>
            <c:dLbl>
              <c:idx val="4"/>
              <c:layout>
                <c:manualLayout>
                  <c:x val="-5.9205170197639823E-2"/>
                  <c:y val="4.0045236517379589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003300"/>
                    </a:solidFill>
                    <a:latin typeface="Calibri" panose="020F0502020204030204" pitchFamily="34" charset="0"/>
                    <a:ea typeface="Times New Roman"/>
                    <a:cs typeface="Times New Roman"/>
                  </a:defRPr>
                </a:pPr>
                <a:endParaRPr lang="ru-RU"/>
              </a:p>
            </c:txPr>
            <c:showLegendKey val="0"/>
            <c:showVal val="1"/>
            <c:showCatName val="0"/>
            <c:showSerName val="0"/>
            <c:showPercent val="0"/>
            <c:showBubbleSize val="0"/>
            <c:showLeaderLines val="0"/>
          </c:dLbls>
          <c:cat>
            <c:numRef>
              <c:f>Моидиаграммпомир!$B$14:$F$14</c:f>
              <c:numCache>
                <c:formatCode>General</c:formatCode>
                <c:ptCount val="5"/>
                <c:pt idx="0">
                  <c:v>2013</c:v>
                </c:pt>
                <c:pt idx="1">
                  <c:v>2014</c:v>
                </c:pt>
                <c:pt idx="2">
                  <c:v>2015</c:v>
                </c:pt>
                <c:pt idx="3">
                  <c:v>2016</c:v>
                </c:pt>
                <c:pt idx="4">
                  <c:v>2017</c:v>
                </c:pt>
              </c:numCache>
            </c:numRef>
          </c:cat>
          <c:val>
            <c:numRef>
              <c:f>Моидиаграммпомир!$B$17:$F$17</c:f>
              <c:numCache>
                <c:formatCode>General</c:formatCode>
                <c:ptCount val="5"/>
                <c:pt idx="3">
                  <c:v>83600</c:v>
                </c:pt>
                <c:pt idx="4">
                  <c:v>88776</c:v>
                </c:pt>
              </c:numCache>
            </c:numRef>
          </c:val>
          <c:smooth val="0"/>
        </c:ser>
        <c:ser>
          <c:idx val="3"/>
          <c:order val="3"/>
          <c:tx>
            <c:strRef>
              <c:f>Моидиаграммпомир!$A$18</c:f>
              <c:strCache>
                <c:ptCount val="1"/>
                <c:pt idx="0">
                  <c:v>Произв-во об администр-х правонаруш-ях </c:v>
                </c:pt>
              </c:strCache>
            </c:strRef>
          </c:tx>
          <c:marker>
            <c:symbol val="x"/>
            <c:size val="6"/>
          </c:marker>
          <c:dLbls>
            <c:dLbl>
              <c:idx val="0"/>
              <c:layout>
                <c:manualLayout>
                  <c:x val="-5.1688022376436771E-2"/>
                  <c:y val="5.7777784517676907E-2"/>
                </c:manualLayout>
              </c:layout>
              <c:showLegendKey val="0"/>
              <c:showVal val="1"/>
              <c:showCatName val="0"/>
              <c:showSerName val="0"/>
              <c:showPercent val="0"/>
              <c:showBubbleSize val="0"/>
            </c:dLbl>
            <c:dLbl>
              <c:idx val="1"/>
              <c:layout>
                <c:manualLayout>
                  <c:x val="-4.430401917980295E-2"/>
                  <c:y val="6.0185192205913354E-2"/>
                </c:manualLayout>
              </c:layout>
              <c:showLegendKey val="0"/>
              <c:showVal val="1"/>
              <c:showCatName val="0"/>
              <c:showSerName val="0"/>
              <c:showPercent val="0"/>
              <c:showBubbleSize val="0"/>
            </c:dLbl>
            <c:dLbl>
              <c:idx val="2"/>
              <c:layout>
                <c:manualLayout>
                  <c:x val="-5.7460994913925874E-2"/>
                  <c:y val="4.5159609715324921E-2"/>
                </c:manualLayout>
              </c:layout>
              <c:showLegendKey val="0"/>
              <c:showVal val="1"/>
              <c:showCatName val="0"/>
              <c:showSerName val="0"/>
              <c:showPercent val="0"/>
              <c:showBubbleSize val="0"/>
            </c:dLbl>
            <c:dLbl>
              <c:idx val="3"/>
              <c:layout>
                <c:manualLayout>
                  <c:x val="-4.2458018380644495E-2"/>
                  <c:y val="3.6111115323548014E-2"/>
                </c:manualLayout>
              </c:layout>
              <c:showLegendKey val="0"/>
              <c:showVal val="1"/>
              <c:showCatName val="0"/>
              <c:showSerName val="0"/>
              <c:showPercent val="0"/>
              <c:showBubbleSize val="0"/>
            </c:dLbl>
            <c:dLbl>
              <c:idx val="4"/>
              <c:layout>
                <c:manualLayout>
                  <c:x val="-6.5997379214530125E-2"/>
                  <c:y val="5.1136385028670829E-2"/>
                </c:manualLayout>
              </c:layout>
              <c:showLegendKey val="0"/>
              <c:showVal val="1"/>
              <c:showCatName val="0"/>
              <c:showSerName val="0"/>
              <c:showPercent val="0"/>
              <c:showBubbleSize val="0"/>
            </c:dLbl>
            <c:txPr>
              <a:bodyPr/>
              <a:lstStyle/>
              <a:p>
                <a:pPr>
                  <a:defRPr sz="1000" b="1" i="0" baseline="0">
                    <a:latin typeface="Calibri" panose="020F0502020204030204" pitchFamily="34" charset="0"/>
                  </a:defRPr>
                </a:pPr>
                <a:endParaRPr lang="ru-RU"/>
              </a:p>
            </c:txPr>
            <c:showLegendKey val="0"/>
            <c:showVal val="1"/>
            <c:showCatName val="0"/>
            <c:showSerName val="0"/>
            <c:showPercent val="0"/>
            <c:showBubbleSize val="0"/>
            <c:showLeaderLines val="0"/>
          </c:dLbls>
          <c:cat>
            <c:numRef>
              <c:f>Моидиаграммпомир!$B$14:$F$14</c:f>
              <c:numCache>
                <c:formatCode>General</c:formatCode>
                <c:ptCount val="5"/>
                <c:pt idx="0">
                  <c:v>2013</c:v>
                </c:pt>
                <c:pt idx="1">
                  <c:v>2014</c:v>
                </c:pt>
                <c:pt idx="2">
                  <c:v>2015</c:v>
                </c:pt>
                <c:pt idx="3">
                  <c:v>2016</c:v>
                </c:pt>
                <c:pt idx="4">
                  <c:v>2017</c:v>
                </c:pt>
              </c:numCache>
            </c:numRef>
          </c:cat>
          <c:val>
            <c:numRef>
              <c:f>Моидиаграммпомир!$B$18:$F$18</c:f>
              <c:numCache>
                <c:formatCode>General</c:formatCode>
                <c:ptCount val="5"/>
                <c:pt idx="0">
                  <c:v>140494</c:v>
                </c:pt>
                <c:pt idx="1">
                  <c:v>169866</c:v>
                </c:pt>
                <c:pt idx="2">
                  <c:v>164198</c:v>
                </c:pt>
                <c:pt idx="3">
                  <c:v>174870</c:v>
                </c:pt>
                <c:pt idx="4">
                  <c:v>191437</c:v>
                </c:pt>
              </c:numCache>
            </c:numRef>
          </c:val>
          <c:smooth val="0"/>
        </c:ser>
        <c:dLbls>
          <c:showLegendKey val="0"/>
          <c:showVal val="0"/>
          <c:showCatName val="0"/>
          <c:showSerName val="0"/>
          <c:showPercent val="0"/>
          <c:showBubbleSize val="0"/>
        </c:dLbls>
        <c:marker val="1"/>
        <c:smooth val="0"/>
        <c:axId val="284164096"/>
        <c:axId val="284165632"/>
      </c:lineChart>
      <c:catAx>
        <c:axId val="2841640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panose="020F0502020204030204" pitchFamily="34" charset="0"/>
                <a:ea typeface="Times New Roman"/>
                <a:cs typeface="Times New Roman"/>
              </a:defRPr>
            </a:pPr>
            <a:endParaRPr lang="ru-RU"/>
          </a:p>
        </c:txPr>
        <c:crossAx val="284165632"/>
        <c:crosses val="autoZero"/>
        <c:auto val="1"/>
        <c:lblAlgn val="ctr"/>
        <c:lblOffset val="100"/>
        <c:tickLblSkip val="1"/>
        <c:tickMarkSkip val="1"/>
        <c:noMultiLvlLbl val="0"/>
      </c:catAx>
      <c:valAx>
        <c:axId val="28416563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550" b="0" i="0" u="none" strike="noStrike" baseline="0">
                <a:solidFill>
                  <a:srgbClr val="000000"/>
                </a:solidFill>
                <a:latin typeface="Arial Cyr"/>
                <a:ea typeface="Arial Cyr"/>
                <a:cs typeface="Arial Cyr"/>
              </a:defRPr>
            </a:pPr>
            <a:endParaRPr lang="ru-RU"/>
          </a:p>
        </c:txPr>
        <c:crossAx val="284164096"/>
        <c:crosses val="autoZero"/>
        <c:crossBetween val="between"/>
      </c:valAx>
      <c:spPr>
        <a:gradFill rotWithShape="0">
          <a:gsLst>
            <a:gs pos="0">
              <a:srgbClr val="CCFFFF"/>
            </a:gs>
            <a:gs pos="100000">
              <a:srgbClr val="CCFFFF">
                <a:gamma/>
                <a:shade val="46275"/>
                <a:invGamma/>
              </a:srgbClr>
            </a:gs>
          </a:gsLst>
          <a:lin ang="18900000" scaled="1"/>
        </a:gradFill>
        <a:ln w="25400">
          <a:noFill/>
          <a:prstDash val="solid"/>
        </a:ln>
      </c:spPr>
    </c:plotArea>
    <c:legend>
      <c:legendPos val="l"/>
      <c:layout>
        <c:manualLayout>
          <c:xMode val="edge"/>
          <c:yMode val="edge"/>
          <c:x val="1.5188834890786896E-2"/>
          <c:y val="0.15467305538918258"/>
          <c:w val="0.23362959534512043"/>
          <c:h val="0.7933645889683637"/>
        </c:manualLayout>
      </c:layout>
      <c:overlay val="0"/>
      <c:spPr>
        <a:gradFill>
          <a:gsLst>
            <a:gs pos="74000">
              <a:srgbClr val="CCFFFF"/>
            </a:gs>
            <a:gs pos="100000">
              <a:srgbClr val="A7B9B9"/>
            </a:gs>
          </a:gsLst>
          <a:lin ang="16800000" scaled="0"/>
        </a:gradFill>
        <a:ln w="3175">
          <a:no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gradFill rotWithShape="0">
      <a:gsLst>
        <a:gs pos="0">
          <a:srgbClr val="CCFFFF"/>
        </a:gs>
        <a:gs pos="100000">
          <a:srgbClr val="CCFFFF">
            <a:gamma/>
            <a:shade val="46275"/>
            <a:invGamma/>
          </a:srgbClr>
        </a:gs>
      </a:gsLst>
      <a:lin ang="18900000" scaled="1"/>
    </a:gradFill>
    <a:ln w="3175">
      <a:solidFill>
        <a:srgbClr val="000000"/>
      </a:solidFill>
      <a:prstDash val="solid"/>
    </a:ln>
  </c:spPr>
  <c:txPr>
    <a:bodyPr/>
    <a:lstStyle/>
    <a:p>
      <a:pPr>
        <a:defRPr sz="4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baseline="0"/>
              <a:t>Соотношение кол-ва дел,оконченных районными(городскими) судами  и  мировыми судьями Республикис Татарстан в 2017 г.</a:t>
            </a:r>
          </a:p>
        </c:rich>
      </c:tx>
      <c:layout>
        <c:manualLayout>
          <c:xMode val="edge"/>
          <c:yMode val="edge"/>
          <c:x val="0.10625849071681628"/>
          <c:y val="1.4895488426127439E-3"/>
        </c:manualLayout>
      </c:layout>
      <c:overlay val="0"/>
      <c:spPr>
        <a:noFill/>
        <a:ln w="25400">
          <a:noFill/>
        </a:ln>
      </c:spPr>
    </c:title>
    <c:autoTitleDeleted val="0"/>
    <c:plotArea>
      <c:layout>
        <c:manualLayout>
          <c:layoutTarget val="inner"/>
          <c:xMode val="edge"/>
          <c:yMode val="edge"/>
          <c:x val="1.9331241779227706E-2"/>
          <c:y val="0.13624075914972006"/>
          <c:w val="0.97920007458512026"/>
          <c:h val="0.65796994063614811"/>
        </c:manualLayout>
      </c:layout>
      <c:lineChart>
        <c:grouping val="standard"/>
        <c:varyColors val="0"/>
        <c:ser>
          <c:idx val="0"/>
          <c:order val="0"/>
          <c:tx>
            <c:strRef>
              <c:f>ДИАГР17!$A$3</c:f>
              <c:strCache>
                <c:ptCount val="1"/>
                <c:pt idx="0">
                  <c:v>МС</c:v>
                </c:pt>
              </c:strCache>
            </c:strRef>
          </c:tx>
          <c:spPr>
            <a:ln w="25400">
              <a:solidFill>
                <a:srgbClr val="000080"/>
              </a:solidFill>
              <a:prstDash val="solid"/>
            </a:ln>
          </c:spPr>
          <c:marker>
            <c:symbol val="diamond"/>
            <c:size val="6"/>
            <c:spPr>
              <a:solidFill>
                <a:srgbClr val="FFFF00"/>
              </a:solidFill>
              <a:ln>
                <a:solidFill>
                  <a:srgbClr val="000080"/>
                </a:solidFill>
                <a:prstDash val="solid"/>
              </a:ln>
            </c:spPr>
          </c:marker>
          <c:dLbls>
            <c:dLbl>
              <c:idx val="0"/>
              <c:layout>
                <c:manualLayout>
                  <c:x val="-0.11910520687857466"/>
                  <c:y val="-2.4439865904947799E-2"/>
                </c:manualLayout>
              </c:layout>
              <c:dLblPos val="r"/>
              <c:showLegendKey val="0"/>
              <c:showVal val="1"/>
              <c:showCatName val="0"/>
              <c:showSerName val="0"/>
              <c:showPercent val="0"/>
              <c:showBubbleSize val="0"/>
            </c:dLbl>
            <c:dLbl>
              <c:idx val="1"/>
              <c:layout>
                <c:manualLayout>
                  <c:x val="-4.5075182478312291E-2"/>
                  <c:y val="8.05132691746865E-2"/>
                </c:manualLayout>
              </c:layout>
              <c:dLblPos val="r"/>
              <c:showLegendKey val="0"/>
              <c:showVal val="1"/>
              <c:showCatName val="0"/>
              <c:showSerName val="0"/>
              <c:showPercent val="0"/>
              <c:showBubbleSize val="0"/>
            </c:dLbl>
            <c:dLbl>
              <c:idx val="2"/>
              <c:layout>
                <c:manualLayout>
                  <c:x val="-3.4751479734883073E-2"/>
                  <c:y val="4.3321735945797551E-2"/>
                </c:manualLayout>
              </c:layout>
              <c:dLblPos val="r"/>
              <c:showLegendKey val="0"/>
              <c:showVal val="1"/>
              <c:showCatName val="0"/>
              <c:showSerName val="0"/>
              <c:showPercent val="0"/>
              <c:showBubbleSize val="0"/>
            </c:dLbl>
            <c:dLbl>
              <c:idx val="3"/>
              <c:layout>
                <c:manualLayout>
                  <c:x val="-7.1813285457809697E-3"/>
                  <c:y val="3.7037037037037035E-2"/>
                </c:manualLayout>
              </c:layout>
              <c:tx>
                <c:rich>
                  <a:bodyPr/>
                  <a:lstStyle/>
                  <a:p>
                    <a:r>
                      <a:rPr lang="ru-RU"/>
                      <a:t>МС - 174870</a:t>
                    </a:r>
                  </a:p>
                </c:rich>
              </c:tx>
              <c:showLegendKey val="0"/>
              <c:showVal val="1"/>
              <c:showCatName val="0"/>
              <c:showSerName val="0"/>
              <c:showPercent val="0"/>
              <c:showBubbleSize val="0"/>
            </c:dLbl>
            <c:spPr>
              <a:noFill/>
              <a:ln w="25400">
                <a:noFill/>
              </a:ln>
            </c:spPr>
            <c:txPr>
              <a:bodyPr/>
              <a:lstStyle/>
              <a:p>
                <a:pPr algn="ctr" rtl="1">
                  <a:defRPr sz="112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ДИАГР17!$B$2:$E$2</c:f>
              <c:strCache>
                <c:ptCount val="4"/>
                <c:pt idx="0">
                  <c:v>Уголовные</c:v>
                </c:pt>
                <c:pt idx="1">
                  <c:v>Гражданские</c:v>
                </c:pt>
                <c:pt idx="2">
                  <c:v>Административные</c:v>
                </c:pt>
                <c:pt idx="3">
                  <c:v>Дела об административных правонарушениях</c:v>
                </c:pt>
              </c:strCache>
            </c:strRef>
          </c:cat>
          <c:val>
            <c:numRef>
              <c:f>ДИАГР17!$B$3:$E$3</c:f>
              <c:numCache>
                <c:formatCode>General</c:formatCode>
                <c:ptCount val="4"/>
                <c:pt idx="0">
                  <c:v>10142</c:v>
                </c:pt>
                <c:pt idx="1">
                  <c:v>220305</c:v>
                </c:pt>
                <c:pt idx="2">
                  <c:v>88776</c:v>
                </c:pt>
                <c:pt idx="3">
                  <c:v>174870</c:v>
                </c:pt>
              </c:numCache>
            </c:numRef>
          </c:val>
          <c:smooth val="0"/>
        </c:ser>
        <c:ser>
          <c:idx val="1"/>
          <c:order val="1"/>
          <c:tx>
            <c:strRef>
              <c:f>ДИАГР17!$A$4</c:f>
              <c:strCache>
                <c:ptCount val="1"/>
                <c:pt idx="0">
                  <c:v>ФС</c:v>
                </c:pt>
              </c:strCache>
            </c:strRef>
          </c:tx>
          <c:spPr>
            <a:ln w="25400">
              <a:solidFill>
                <a:srgbClr val="FF8080"/>
              </a:solidFill>
              <a:prstDash val="solid"/>
            </a:ln>
          </c:spPr>
          <c:marker>
            <c:symbol val="square"/>
            <c:size val="6"/>
            <c:spPr>
              <a:solidFill>
                <a:srgbClr val="FFCC99"/>
              </a:solidFill>
              <a:ln>
                <a:solidFill>
                  <a:srgbClr val="800080"/>
                </a:solidFill>
                <a:prstDash val="solid"/>
              </a:ln>
            </c:spPr>
          </c:marker>
          <c:dLbls>
            <c:dLbl>
              <c:idx val="0"/>
              <c:layout>
                <c:manualLayout>
                  <c:x val="-9.5037996552340881E-2"/>
                  <c:y val="-8.3950329423479617E-2"/>
                </c:manualLayout>
              </c:layout>
              <c:dLblPos val="r"/>
              <c:showLegendKey val="0"/>
              <c:showVal val="1"/>
              <c:showCatName val="0"/>
              <c:showSerName val="0"/>
              <c:showPercent val="0"/>
              <c:showBubbleSize val="0"/>
            </c:dLbl>
            <c:dLbl>
              <c:idx val="1"/>
              <c:layout>
                <c:manualLayout>
                  <c:x val="-5.1317772778402701E-2"/>
                  <c:y val="6.9659815516045678E-2"/>
                </c:manualLayout>
              </c:layout>
              <c:dLblPos val="r"/>
              <c:showLegendKey val="0"/>
              <c:showVal val="1"/>
              <c:showCatName val="0"/>
              <c:showSerName val="0"/>
              <c:showPercent val="0"/>
              <c:showBubbleSize val="0"/>
            </c:dLbl>
            <c:dLbl>
              <c:idx val="2"/>
              <c:layout>
                <c:manualLayout>
                  <c:x val="1.6769865841073271E-3"/>
                  <c:y val="-2.6535766010221239E-2"/>
                </c:manualLayout>
              </c:layout>
              <c:dLblPos val="r"/>
              <c:showLegendKey val="0"/>
              <c:showVal val="1"/>
              <c:showCatName val="0"/>
              <c:showSerName val="0"/>
              <c:showPercent val="0"/>
              <c:showBubbleSize val="0"/>
            </c:dLbl>
            <c:dLbl>
              <c:idx val="3"/>
              <c:layout>
                <c:manualLayout>
                  <c:x val="0"/>
                  <c:y val="-4.9731177532472109E-2"/>
                </c:manualLayout>
              </c:layout>
              <c:tx>
                <c:rich>
                  <a:bodyPr/>
                  <a:lstStyle/>
                  <a:p>
                    <a:r>
                      <a:rPr lang="ru-RU"/>
                      <a:t>ФС - 19692</a:t>
                    </a:r>
                  </a:p>
                </c:rich>
              </c:tx>
              <c:showLegendKey val="0"/>
              <c:showVal val="1"/>
              <c:showCatName val="0"/>
              <c:showSerName val="0"/>
              <c:showPercent val="0"/>
              <c:showBubbleSize val="0"/>
            </c:dLbl>
            <c:spPr>
              <a:noFill/>
              <a:ln w="25400">
                <a:noFill/>
              </a:ln>
            </c:spPr>
            <c:txPr>
              <a:bodyPr/>
              <a:lstStyle/>
              <a:p>
                <a:pPr algn="ctr" rtl="1">
                  <a:defRPr sz="112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ДИАГР17!$B$2:$E$2</c:f>
              <c:strCache>
                <c:ptCount val="4"/>
                <c:pt idx="0">
                  <c:v>Уголовные</c:v>
                </c:pt>
                <c:pt idx="1">
                  <c:v>Гражданские</c:v>
                </c:pt>
                <c:pt idx="2">
                  <c:v>Административные</c:v>
                </c:pt>
                <c:pt idx="3">
                  <c:v>Дела об административных правонарушениях</c:v>
                </c:pt>
              </c:strCache>
            </c:strRef>
          </c:cat>
          <c:val>
            <c:numRef>
              <c:f>ДИАГР17!$B$4:$E$4</c:f>
              <c:numCache>
                <c:formatCode>General</c:formatCode>
                <c:ptCount val="4"/>
                <c:pt idx="0">
                  <c:v>10624</c:v>
                </c:pt>
                <c:pt idx="1">
                  <c:v>112419</c:v>
                </c:pt>
                <c:pt idx="2">
                  <c:v>10638</c:v>
                </c:pt>
                <c:pt idx="3">
                  <c:v>19692</c:v>
                </c:pt>
              </c:numCache>
            </c:numRef>
          </c:val>
          <c:smooth val="0"/>
        </c:ser>
        <c:ser>
          <c:idx val="2"/>
          <c:order val="2"/>
          <c:tx>
            <c:strRef>
              <c:f>ДИАГР17!$A$5</c:f>
              <c:strCache>
                <c:ptCount val="1"/>
                <c:pt idx="0">
                  <c:v>ФС и МС</c:v>
                </c:pt>
              </c:strCache>
            </c:strRef>
          </c:tx>
          <c:spPr>
            <a:ln w="25400">
              <a:solidFill>
                <a:srgbClr val="339966"/>
              </a:solidFill>
              <a:prstDash val="solid"/>
            </a:ln>
          </c:spPr>
          <c:marker>
            <c:symbol val="triangle"/>
            <c:size val="6"/>
            <c:spPr>
              <a:solidFill>
                <a:srgbClr val="FFFF99"/>
              </a:solidFill>
              <a:ln>
                <a:solidFill>
                  <a:srgbClr val="008000"/>
                </a:solidFill>
                <a:prstDash val="solid"/>
              </a:ln>
              <a:effectLst>
                <a:outerShdw dist="35921" dir="2700000" algn="br">
                  <a:srgbClr val="000000"/>
                </a:outerShdw>
              </a:effectLst>
            </c:spPr>
          </c:marker>
          <c:dLbls>
            <c:dLbl>
              <c:idx val="0"/>
              <c:layout>
                <c:manualLayout>
                  <c:x val="-0.10894488692363016"/>
                  <c:y val="-0.1399362456570396"/>
                </c:manualLayout>
              </c:layout>
              <c:dLblPos val="r"/>
              <c:showLegendKey val="0"/>
              <c:showVal val="1"/>
              <c:showCatName val="0"/>
              <c:showSerName val="0"/>
              <c:showPercent val="0"/>
              <c:showBubbleSize val="0"/>
            </c:dLbl>
            <c:dLbl>
              <c:idx val="1"/>
              <c:layout>
                <c:manualLayout>
                  <c:x val="-8.4658439239080757E-2"/>
                  <c:y val="-4.3497861378438779E-2"/>
                </c:manualLayout>
              </c:layout>
              <c:dLblPos val="r"/>
              <c:showLegendKey val="0"/>
              <c:showVal val="1"/>
              <c:showCatName val="0"/>
              <c:showSerName val="0"/>
              <c:showPercent val="0"/>
              <c:showBubbleSize val="0"/>
            </c:dLbl>
            <c:dLbl>
              <c:idx val="2"/>
              <c:layout>
                <c:manualLayout>
                  <c:x val="-2.4638176960375464E-2"/>
                  <c:y val="-7.3110023409236002E-2"/>
                </c:manualLayout>
              </c:layout>
              <c:dLblPos val="r"/>
              <c:showLegendKey val="0"/>
              <c:showVal val="1"/>
              <c:showCatName val="0"/>
              <c:showSerName val="0"/>
              <c:showPercent val="0"/>
              <c:showBubbleSize val="0"/>
            </c:dLbl>
            <c:dLbl>
              <c:idx val="3"/>
              <c:layout>
                <c:manualLayout>
                  <c:x val="-1.6504987384068533E-2"/>
                  <c:y val="-8.9774876586022609E-2"/>
                </c:manualLayout>
              </c:layout>
              <c:tx>
                <c:rich>
                  <a:bodyPr/>
                  <a:lstStyle/>
                  <a:p>
                    <a:r>
                      <a:rPr lang="ru-RU"/>
                      <a:t>ФС</a:t>
                    </a:r>
                    <a:r>
                      <a:rPr lang="ru-RU" baseline="0"/>
                      <a:t> </a:t>
                    </a:r>
                    <a:r>
                      <a:rPr lang="ru-RU"/>
                      <a:t>и</a:t>
                    </a:r>
                    <a:r>
                      <a:rPr lang="ru-RU" baseline="0"/>
                      <a:t> </a:t>
                    </a:r>
                    <a:r>
                      <a:rPr lang="ru-RU" sz="1125" b="1" i="0" u="none" strike="noStrike" baseline="0">
                        <a:effectLst/>
                      </a:rPr>
                      <a:t>МС</a:t>
                    </a:r>
                    <a:r>
                      <a:rPr lang="ru-RU" baseline="0"/>
                      <a:t>- </a:t>
                    </a:r>
                    <a:r>
                      <a:rPr lang="ru-RU" sz="1125" b="1" i="0" u="none" strike="noStrike" baseline="0">
                        <a:effectLst/>
                      </a:rPr>
                      <a:t>194562</a:t>
                    </a:r>
                    <a:endParaRPr lang="ru-RU"/>
                  </a:p>
                </c:rich>
              </c:tx>
              <c:showLegendKey val="0"/>
              <c:showVal val="1"/>
              <c:showCatName val="0"/>
              <c:showSerName val="0"/>
              <c:showPercent val="0"/>
              <c:showBubbleSize val="0"/>
            </c:dLbl>
            <c:spPr>
              <a:noFill/>
              <a:ln w="25400">
                <a:noFill/>
              </a:ln>
            </c:spPr>
            <c:txPr>
              <a:bodyPr/>
              <a:lstStyle/>
              <a:p>
                <a:pPr algn="ctr" rtl="1">
                  <a:defRPr sz="112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ДИАГР17!$B$2:$E$2</c:f>
              <c:strCache>
                <c:ptCount val="4"/>
                <c:pt idx="0">
                  <c:v>Уголовные</c:v>
                </c:pt>
                <c:pt idx="1">
                  <c:v>Гражданские</c:v>
                </c:pt>
                <c:pt idx="2">
                  <c:v>Административные</c:v>
                </c:pt>
                <c:pt idx="3">
                  <c:v>Дела об административных правонарушениях</c:v>
                </c:pt>
              </c:strCache>
            </c:strRef>
          </c:cat>
          <c:val>
            <c:numRef>
              <c:f>ДИАГР17!$B$5:$E$5</c:f>
              <c:numCache>
                <c:formatCode>General</c:formatCode>
                <c:ptCount val="4"/>
                <c:pt idx="0">
                  <c:v>20766</c:v>
                </c:pt>
                <c:pt idx="1">
                  <c:v>332724</c:v>
                </c:pt>
                <c:pt idx="2">
                  <c:v>99414</c:v>
                </c:pt>
                <c:pt idx="3">
                  <c:v>194562</c:v>
                </c:pt>
              </c:numCache>
            </c:numRef>
          </c:val>
          <c:smooth val="0"/>
        </c:ser>
        <c:dLbls>
          <c:showLegendKey val="0"/>
          <c:showVal val="0"/>
          <c:showCatName val="0"/>
          <c:showSerName val="0"/>
          <c:showPercent val="0"/>
          <c:showBubbleSize val="0"/>
        </c:dLbls>
        <c:marker val="1"/>
        <c:smooth val="0"/>
        <c:axId val="291115392"/>
        <c:axId val="291116928"/>
      </c:lineChart>
      <c:catAx>
        <c:axId val="291115392"/>
        <c:scaling>
          <c:orientation val="minMax"/>
        </c:scaling>
        <c:delete val="0"/>
        <c:axPos val="b"/>
        <c:numFmt formatCode="General" sourceLinked="1"/>
        <c:majorTickMark val="out"/>
        <c:minorTickMark val="none"/>
        <c:tickLblPos val="nextTo"/>
        <c:spPr>
          <a:solidFill>
            <a:srgbClr val="8064A2">
              <a:lumMod val="40000"/>
              <a:lumOff val="60000"/>
              <a:alpha val="30000"/>
            </a:srgbClr>
          </a:solidFill>
          <a:ln w="3175">
            <a:solidFill>
              <a:srgbClr val="000000"/>
            </a:solidFill>
            <a:prstDash val="solid"/>
          </a:ln>
          <a:effectLst>
            <a:outerShdw blurRad="50800" dist="38100" dir="2700000" algn="tl" rotWithShape="0">
              <a:schemeClr val="accent4">
                <a:lumMod val="40000"/>
                <a:lumOff val="60000"/>
                <a:alpha val="40000"/>
              </a:schemeClr>
            </a:outerShdw>
          </a:effectLst>
        </c:spPr>
        <c:txPr>
          <a:bodyPr rot="0" vert="horz"/>
          <a:lstStyle/>
          <a:p>
            <a:pPr>
              <a:defRPr sz="1000" b="1" i="0" u="none" strike="noStrike" baseline="0">
                <a:solidFill>
                  <a:srgbClr val="000000"/>
                </a:solidFill>
                <a:latin typeface="Calibri" panose="020F0502020204030204" pitchFamily="34" charset="0"/>
                <a:ea typeface="Arial Cyr"/>
                <a:cs typeface="Arial Cyr"/>
              </a:defRPr>
            </a:pPr>
            <a:endParaRPr lang="ru-RU"/>
          </a:p>
        </c:txPr>
        <c:crossAx val="291116928"/>
        <c:crosses val="autoZero"/>
        <c:auto val="1"/>
        <c:lblAlgn val="ctr"/>
        <c:lblOffset val="100"/>
        <c:tickLblSkip val="1"/>
        <c:tickMarkSkip val="1"/>
        <c:noMultiLvlLbl val="0"/>
      </c:catAx>
      <c:valAx>
        <c:axId val="291116928"/>
        <c:scaling>
          <c:orientation val="minMax"/>
        </c:scaling>
        <c:delete val="1"/>
        <c:axPos val="l"/>
        <c:numFmt formatCode="General" sourceLinked="1"/>
        <c:majorTickMark val="out"/>
        <c:minorTickMark val="none"/>
        <c:tickLblPos val="nextTo"/>
        <c:crossAx val="291115392"/>
        <c:crosses val="autoZero"/>
        <c:crossBetween val="between"/>
      </c:valAx>
      <c:spPr>
        <a:gradFill>
          <a:gsLst>
            <a:gs pos="0">
              <a:srgbClr val="8064A2">
                <a:lumMod val="60000"/>
                <a:lumOff val="40000"/>
              </a:srgbClr>
            </a:gs>
            <a:gs pos="100000">
              <a:srgbClr val="CCCCFF"/>
            </a:gs>
          </a:gsLst>
          <a:lin ang="18900000" scaled="1"/>
        </a:gradFill>
        <a:ln w="12700">
          <a:noFill/>
          <a:prstDash val="solid"/>
        </a:ln>
      </c:spPr>
    </c:plotArea>
    <c:plotVisOnly val="1"/>
    <c:dispBlanksAs val="gap"/>
    <c:showDLblsOverMax val="0"/>
  </c:chart>
  <c:spPr>
    <a:gradFill>
      <a:gsLst>
        <a:gs pos="0">
          <a:srgbClr val="8064A2">
            <a:lumMod val="60000"/>
            <a:lumOff val="40000"/>
          </a:srgbClr>
        </a:gs>
        <a:gs pos="99000">
          <a:srgbClr val="CCCCFF"/>
        </a:gs>
      </a:gsLst>
      <a:lin ang="18900000" scaled="1"/>
    </a:gradFill>
    <a:ln w="3175">
      <a:solidFill>
        <a:srgbClr val="000000"/>
      </a:solidFill>
      <a:prstDash val="solid"/>
    </a:ln>
  </c:spPr>
  <c:txPr>
    <a:bodyPr/>
    <a:lstStyle/>
    <a:p>
      <a:pPr>
        <a:defRPr sz="27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i="0" u="none" strike="noStrike" baseline="0">
                <a:solidFill>
                  <a:srgbClr val="000000"/>
                </a:solidFill>
                <a:latin typeface="Arial Cyr"/>
                <a:ea typeface="Arial Cyr"/>
                <a:cs typeface="Arial Cyr"/>
              </a:defRPr>
            </a:pPr>
            <a:r>
              <a:rPr lang="ru-RU" sz="1100" b="1" i="0" u="none" strike="noStrike" baseline="0">
                <a:solidFill>
                  <a:srgbClr val="000000"/>
                </a:solidFill>
                <a:latin typeface="Times New Roman"/>
                <a:cs typeface="Times New Roman"/>
              </a:rPr>
              <a:t>Тендеции изменения утверждаемости приговоров и решений</a:t>
            </a:r>
          </a:p>
          <a:p>
            <a:pPr>
              <a:defRPr sz="1100" b="0" i="0" u="none" strike="noStrike" baseline="0">
                <a:solidFill>
                  <a:srgbClr val="000000"/>
                </a:solidFill>
                <a:latin typeface="Arial Cyr"/>
                <a:ea typeface="Arial Cyr"/>
                <a:cs typeface="Arial Cyr"/>
              </a:defRPr>
            </a:pPr>
            <a:r>
              <a:rPr lang="ru-RU" sz="1100" b="1" i="0" u="none" strike="noStrike" baseline="0">
                <a:solidFill>
                  <a:srgbClr val="000000"/>
                </a:solidFill>
                <a:latin typeface="Times New Roman"/>
                <a:cs typeface="Times New Roman"/>
              </a:rPr>
              <a:t>мировыми судьями РТ  </a:t>
            </a:r>
          </a:p>
        </c:rich>
      </c:tx>
      <c:layout>
        <c:manualLayout>
          <c:xMode val="edge"/>
          <c:yMode val="edge"/>
          <c:x val="0.19141616858122179"/>
          <c:y val="2.3588069673109044E-2"/>
        </c:manualLayout>
      </c:layout>
      <c:overlay val="0"/>
      <c:spPr>
        <a:noFill/>
        <a:ln w="25400">
          <a:noFill/>
        </a:ln>
      </c:spPr>
    </c:title>
    <c:autoTitleDeleted val="0"/>
    <c:plotArea>
      <c:layout>
        <c:manualLayout>
          <c:layoutTarget val="inner"/>
          <c:xMode val="edge"/>
          <c:yMode val="edge"/>
          <c:x val="4.5164247047244102E-2"/>
          <c:y val="0.23912825553210401"/>
          <c:w val="0.92317985004992875"/>
          <c:h val="0.58097781920507885"/>
        </c:manualLayout>
      </c:layout>
      <c:lineChart>
        <c:grouping val="standard"/>
        <c:varyColors val="0"/>
        <c:ser>
          <c:idx val="0"/>
          <c:order val="0"/>
          <c:tx>
            <c:strRef>
              <c:f>Моидиаграммпомир!$I$24</c:f>
              <c:strCache>
                <c:ptCount val="1"/>
                <c:pt idx="0">
                  <c:v>Уголовные </c:v>
                </c:pt>
              </c:strCache>
            </c:strRef>
          </c:tx>
          <c:spPr>
            <a:ln w="38100">
              <a:solidFill>
                <a:srgbClr val="0000CC"/>
              </a:solidFill>
              <a:prstDash val="solid"/>
            </a:ln>
          </c:spPr>
          <c:marker>
            <c:symbol val="diamond"/>
            <c:size val="6"/>
            <c:spPr>
              <a:solidFill>
                <a:srgbClr val="FFFF00"/>
              </a:solidFill>
              <a:ln>
                <a:solidFill>
                  <a:srgbClr val="000080"/>
                </a:solidFill>
                <a:prstDash val="solid"/>
              </a:ln>
            </c:spPr>
          </c:marker>
          <c:dLbls>
            <c:dLbl>
              <c:idx val="0"/>
              <c:layout>
                <c:manualLayout>
                  <c:x val="-3.4454740199587351E-2"/>
                  <c:y val="7.4690272275464528E-2"/>
                </c:manualLayout>
              </c:layout>
              <c:dLblPos val="r"/>
              <c:showLegendKey val="0"/>
              <c:showVal val="1"/>
              <c:showCatName val="0"/>
              <c:showSerName val="0"/>
              <c:showPercent val="0"/>
              <c:showBubbleSize val="0"/>
            </c:dLbl>
            <c:dLbl>
              <c:idx val="1"/>
              <c:layout>
                <c:manualLayout>
                  <c:x val="-3.6248368352351686E-2"/>
                  <c:y val="6.6530775511098691E-2"/>
                </c:manualLayout>
              </c:layout>
              <c:dLblPos val="r"/>
              <c:showLegendKey val="0"/>
              <c:showVal val="1"/>
              <c:showCatName val="0"/>
              <c:showSerName val="0"/>
              <c:showPercent val="0"/>
              <c:showBubbleSize val="0"/>
            </c:dLbl>
            <c:dLbl>
              <c:idx val="2"/>
              <c:layout>
                <c:manualLayout>
                  <c:x val="2.4329971788285827E-3"/>
                  <c:y val="6.1711297048203023E-2"/>
                </c:manualLayout>
              </c:layout>
              <c:dLblPos val="r"/>
              <c:showLegendKey val="0"/>
              <c:showVal val="1"/>
              <c:showCatName val="0"/>
              <c:showSerName val="0"/>
              <c:showPercent val="0"/>
              <c:showBubbleSize val="0"/>
            </c:dLbl>
            <c:dLbl>
              <c:idx val="3"/>
              <c:layout>
                <c:manualLayout>
                  <c:x val="-2.6587303675944255E-2"/>
                  <c:y val="5.748497252039738E-2"/>
                </c:manualLayout>
              </c:layout>
              <c:dLblPos val="r"/>
              <c:showLegendKey val="0"/>
              <c:showVal val="1"/>
              <c:showCatName val="0"/>
              <c:showSerName val="0"/>
              <c:showPercent val="0"/>
              <c:showBubbleSize val="0"/>
            </c:dLbl>
            <c:dLbl>
              <c:idx val="4"/>
              <c:layout>
                <c:manualLayout>
                  <c:x val="-3.5549697982957609E-2"/>
                  <c:y val="6.4157337848426588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000080"/>
                    </a:solidFill>
                    <a:latin typeface="Calibri" panose="020F0502020204030204" pitchFamily="34" charset="0"/>
                    <a:ea typeface="Times New Roman"/>
                    <a:cs typeface="Times New Roman"/>
                  </a:defRPr>
                </a:pPr>
                <a:endParaRPr lang="ru-RU"/>
              </a:p>
            </c:txPr>
            <c:showLegendKey val="0"/>
            <c:showVal val="1"/>
            <c:showCatName val="0"/>
            <c:showSerName val="0"/>
            <c:showPercent val="0"/>
            <c:showBubbleSize val="0"/>
            <c:showLeaderLines val="0"/>
          </c:dLbls>
          <c:cat>
            <c:numRef>
              <c:f>Моидиаграммпомир!$J$23:$N$23</c:f>
              <c:numCache>
                <c:formatCode>General</c:formatCode>
                <c:ptCount val="5"/>
                <c:pt idx="0">
                  <c:v>2013</c:v>
                </c:pt>
                <c:pt idx="1">
                  <c:v>2014</c:v>
                </c:pt>
                <c:pt idx="2">
                  <c:v>2015</c:v>
                </c:pt>
                <c:pt idx="3">
                  <c:v>2016</c:v>
                </c:pt>
                <c:pt idx="4">
                  <c:v>2017</c:v>
                </c:pt>
              </c:numCache>
            </c:numRef>
          </c:cat>
          <c:val>
            <c:numRef>
              <c:f>Моидиаграммпомир!$J$24:$N$24</c:f>
              <c:numCache>
                <c:formatCode>General</c:formatCode>
                <c:ptCount val="5"/>
                <c:pt idx="0">
                  <c:v>70.2</c:v>
                </c:pt>
                <c:pt idx="1">
                  <c:v>65.8</c:v>
                </c:pt>
                <c:pt idx="2">
                  <c:v>65.3</c:v>
                </c:pt>
                <c:pt idx="3">
                  <c:v>72.2</c:v>
                </c:pt>
                <c:pt idx="4">
                  <c:v>72.900000000000006</c:v>
                </c:pt>
              </c:numCache>
            </c:numRef>
          </c:val>
          <c:smooth val="0"/>
        </c:ser>
        <c:ser>
          <c:idx val="1"/>
          <c:order val="1"/>
          <c:tx>
            <c:strRef>
              <c:f>Моидиаграммпомир!$I$25</c:f>
              <c:strCache>
                <c:ptCount val="1"/>
                <c:pt idx="0">
                  <c:v>Гражданские </c:v>
                </c:pt>
              </c:strCache>
            </c:strRef>
          </c:tx>
          <c:spPr>
            <a:ln w="25400">
              <a:solidFill>
                <a:srgbClr val="00B050"/>
              </a:solidFill>
              <a:prstDash val="solid"/>
            </a:ln>
          </c:spPr>
          <c:marker>
            <c:symbol val="square"/>
            <c:size val="6"/>
            <c:spPr>
              <a:solidFill>
                <a:srgbClr val="F79646">
                  <a:lumMod val="40000"/>
                  <a:lumOff val="60000"/>
                </a:srgbClr>
              </a:solidFill>
              <a:ln>
                <a:solidFill>
                  <a:srgbClr val="FF0000"/>
                </a:solidFill>
                <a:prstDash val="solid"/>
              </a:ln>
            </c:spPr>
          </c:marker>
          <c:dLbls>
            <c:dLbl>
              <c:idx val="0"/>
              <c:layout>
                <c:manualLayout>
                  <c:x val="-7.6882489767803236E-2"/>
                  <c:y val="9.4267221223004478E-3"/>
                </c:manualLayout>
              </c:layout>
              <c:dLblPos val="r"/>
              <c:showLegendKey val="0"/>
              <c:showVal val="1"/>
              <c:showCatName val="0"/>
              <c:showSerName val="0"/>
              <c:showPercent val="0"/>
              <c:showBubbleSize val="0"/>
            </c:dLbl>
            <c:dLbl>
              <c:idx val="1"/>
              <c:layout>
                <c:manualLayout>
                  <c:x val="-2.7468832020997376E-2"/>
                  <c:y val="-5.88272840120138E-2"/>
                </c:manualLayout>
              </c:layout>
              <c:dLblPos val="r"/>
              <c:showLegendKey val="0"/>
              <c:showVal val="1"/>
              <c:showCatName val="0"/>
              <c:showSerName val="0"/>
              <c:showPercent val="0"/>
              <c:showBubbleSize val="0"/>
            </c:dLbl>
            <c:dLbl>
              <c:idx val="2"/>
              <c:layout>
                <c:manualLayout>
                  <c:x val="-4.3969406167979001E-2"/>
                  <c:y val="-7.0799183938787577E-2"/>
                </c:manualLayout>
              </c:layout>
              <c:dLblPos val="r"/>
              <c:showLegendKey val="0"/>
              <c:showVal val="1"/>
              <c:showCatName val="0"/>
              <c:showSerName val="0"/>
              <c:showPercent val="0"/>
              <c:showBubbleSize val="0"/>
            </c:dLbl>
            <c:dLbl>
              <c:idx val="3"/>
              <c:layout>
                <c:manualLayout>
                  <c:x val="-1.4322096456692914E-2"/>
                  <c:y val="-5.3127777799532448E-2"/>
                </c:manualLayout>
              </c:layout>
              <c:dLblPos val="r"/>
              <c:showLegendKey val="0"/>
              <c:showVal val="1"/>
              <c:showCatName val="0"/>
              <c:showSerName val="0"/>
              <c:showPercent val="0"/>
              <c:showBubbleSize val="0"/>
            </c:dLbl>
            <c:dLbl>
              <c:idx val="4"/>
              <c:layout>
                <c:manualLayout>
                  <c:x val="6.1607493757248159E-3"/>
                  <c:y val="1.916773173089838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339966"/>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trendline>
            <c:spPr>
              <a:ln w="3175"/>
            </c:spPr>
            <c:trendlineType val="linear"/>
            <c:dispRSqr val="0"/>
            <c:dispEq val="0"/>
          </c:trendline>
          <c:cat>
            <c:numRef>
              <c:f>Моидиаграммпомир!$J$23:$N$23</c:f>
              <c:numCache>
                <c:formatCode>General</c:formatCode>
                <c:ptCount val="5"/>
                <c:pt idx="0">
                  <c:v>2013</c:v>
                </c:pt>
                <c:pt idx="1">
                  <c:v>2014</c:v>
                </c:pt>
                <c:pt idx="2">
                  <c:v>2015</c:v>
                </c:pt>
                <c:pt idx="3">
                  <c:v>2016</c:v>
                </c:pt>
                <c:pt idx="4">
                  <c:v>2017</c:v>
                </c:pt>
              </c:numCache>
            </c:numRef>
          </c:cat>
          <c:val>
            <c:numRef>
              <c:f>Моидиаграммпомир!$J$25:$N$25</c:f>
              <c:numCache>
                <c:formatCode>General</c:formatCode>
                <c:ptCount val="5"/>
                <c:pt idx="0">
                  <c:v>80</c:v>
                </c:pt>
                <c:pt idx="1">
                  <c:v>82</c:v>
                </c:pt>
                <c:pt idx="2">
                  <c:v>80.7</c:v>
                </c:pt>
                <c:pt idx="3">
                  <c:v>83.2</c:v>
                </c:pt>
                <c:pt idx="4">
                  <c:v>87</c:v>
                </c:pt>
              </c:numCache>
            </c:numRef>
          </c:val>
          <c:smooth val="0"/>
        </c:ser>
        <c:dLbls>
          <c:showLegendKey val="0"/>
          <c:showVal val="0"/>
          <c:showCatName val="0"/>
          <c:showSerName val="0"/>
          <c:showPercent val="0"/>
          <c:showBubbleSize val="0"/>
        </c:dLbls>
        <c:marker val="1"/>
        <c:smooth val="0"/>
        <c:axId val="293212160"/>
        <c:axId val="293213696"/>
      </c:lineChart>
      <c:catAx>
        <c:axId val="293212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panose="020F0502020204030204" pitchFamily="34" charset="0"/>
                <a:ea typeface="Times New Roman"/>
                <a:cs typeface="Times New Roman"/>
              </a:defRPr>
            </a:pPr>
            <a:endParaRPr lang="ru-RU"/>
          </a:p>
        </c:txPr>
        <c:crossAx val="293213696"/>
        <c:crosses val="autoZero"/>
        <c:auto val="1"/>
        <c:lblAlgn val="ctr"/>
        <c:lblOffset val="100"/>
        <c:tickLblSkip val="1"/>
        <c:tickMarkSkip val="1"/>
        <c:noMultiLvlLbl val="0"/>
      </c:catAx>
      <c:valAx>
        <c:axId val="29321369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550" b="0" i="0" u="none" strike="noStrike" baseline="0">
                <a:solidFill>
                  <a:srgbClr val="000000"/>
                </a:solidFill>
                <a:latin typeface="Arial Cyr"/>
                <a:ea typeface="Arial Cyr"/>
                <a:cs typeface="Arial Cyr"/>
              </a:defRPr>
            </a:pPr>
            <a:endParaRPr lang="ru-RU"/>
          </a:p>
        </c:txPr>
        <c:crossAx val="293212160"/>
        <c:crosses val="autoZero"/>
        <c:crossBetween val="between"/>
      </c:valAx>
      <c:spPr>
        <a:solidFill>
          <a:srgbClr val="F79646">
            <a:lumMod val="20000"/>
            <a:lumOff val="80000"/>
            <a:alpha val="0"/>
          </a:srgbClr>
        </a:solidFill>
        <a:ln w="25400">
          <a:noFill/>
          <a:prstDash val="solid"/>
        </a:ln>
      </c:spPr>
    </c:plotArea>
    <c:legend>
      <c:legendPos val="r"/>
      <c:legendEntry>
        <c:idx val="2"/>
        <c:delete val="1"/>
      </c:legendEntry>
      <c:layout>
        <c:manualLayout>
          <c:xMode val="edge"/>
          <c:yMode val="edge"/>
          <c:x val="0.21223729442997444"/>
          <c:y val="0.89067201145311381"/>
          <c:w val="0.54493368061305913"/>
          <c:h val="9.1571462658076808E-2"/>
        </c:manualLayout>
      </c:layout>
      <c:overlay val="0"/>
      <c:spPr>
        <a:noFill/>
        <a:ln w="3175">
          <a:no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gradFill flip="none" rotWithShape="1">
      <a:gsLst>
        <a:gs pos="29000">
          <a:srgbClr val="F79646">
            <a:lumMod val="20000"/>
            <a:lumOff val="80000"/>
          </a:srgbClr>
        </a:gs>
        <a:gs pos="100000">
          <a:srgbClr val="E3A989"/>
        </a:gs>
      </a:gsLst>
      <a:lin ang="13800000" scaled="0"/>
      <a:tileRect/>
    </a:gradFill>
    <a:ln w="3175">
      <a:solidFill>
        <a:srgbClr val="000000"/>
      </a:solidFill>
      <a:prstDash val="solid"/>
    </a:ln>
  </c:spPr>
  <c:txPr>
    <a:bodyPr/>
    <a:lstStyle/>
    <a:p>
      <a:pPr>
        <a:defRPr sz="4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100">
                <a:latin typeface="Times New Roman" panose="02020603050405020304" pitchFamily="18" charset="0"/>
                <a:cs typeface="Times New Roman" panose="02020603050405020304" pitchFamily="18" charset="0"/>
              </a:rPr>
              <a:t>Качество рассмотрения уголовных дел судьями первой инстанции с 2013 года по 2017 год</a:t>
            </a:r>
          </a:p>
        </c:rich>
      </c:tx>
      <c:layout>
        <c:manualLayout>
          <c:xMode val="edge"/>
          <c:yMode val="edge"/>
          <c:x val="0.10946258495231002"/>
          <c:y val="0"/>
        </c:manualLayout>
      </c:layout>
      <c:overlay val="0"/>
      <c:spPr>
        <a:noFill/>
        <a:ln w="25400">
          <a:noFill/>
        </a:ln>
      </c:spPr>
    </c:title>
    <c:autoTitleDeleted val="0"/>
    <c:plotArea>
      <c:layout>
        <c:manualLayout>
          <c:layoutTarget val="inner"/>
          <c:xMode val="edge"/>
          <c:yMode val="edge"/>
          <c:x val="8.0431242890257312E-2"/>
          <c:y val="0.17906824146981629"/>
          <c:w val="0.89233082887374815"/>
          <c:h val="0.70154585069828279"/>
        </c:manualLayout>
      </c:layout>
      <c:barChart>
        <c:barDir val="col"/>
        <c:grouping val="clustered"/>
        <c:varyColors val="0"/>
        <c:ser>
          <c:idx val="0"/>
          <c:order val="0"/>
          <c:tx>
            <c:strRef>
              <c:f>[Книга1.xls]Лист1!$A$48</c:f>
              <c:strCache>
                <c:ptCount val="1"/>
                <c:pt idx="0">
                  <c:v>Качество рассмотрения уголовных дел судьями первой инстанции с 2013 года по 2017 год</c:v>
                </c:pt>
              </c:strCache>
            </c:strRef>
          </c:tx>
          <c:spPr>
            <a:gradFill>
              <a:gsLst>
                <a:gs pos="0">
                  <a:schemeClr val="accent1">
                    <a:lumMod val="5000"/>
                    <a:lumOff val="95000"/>
                  </a:schemeClr>
                </a:gs>
                <a:gs pos="74000">
                  <a:srgbClr val="7030A0"/>
                </a:gs>
                <a:gs pos="100000">
                  <a:srgbClr val="7030A0"/>
                </a:gs>
              </a:gsLst>
              <a:lin ang="18900000" scaled="1"/>
            </a:gradFill>
            <a:ln w="1270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numRef>
              <c:f>[Книга1.xls]Лист1!$B$47:$F$47</c:f>
              <c:numCache>
                <c:formatCode>General</c:formatCode>
                <c:ptCount val="5"/>
                <c:pt idx="0">
                  <c:v>2013</c:v>
                </c:pt>
                <c:pt idx="1">
                  <c:v>2014</c:v>
                </c:pt>
                <c:pt idx="2">
                  <c:v>2015</c:v>
                </c:pt>
                <c:pt idx="3">
                  <c:v>2016</c:v>
                </c:pt>
                <c:pt idx="4">
                  <c:v>2017</c:v>
                </c:pt>
              </c:numCache>
            </c:numRef>
          </c:cat>
          <c:val>
            <c:numRef>
              <c:f>[Книга1.xls]Лист1!$B$48:$F$48</c:f>
              <c:numCache>
                <c:formatCode>General</c:formatCode>
                <c:ptCount val="5"/>
                <c:pt idx="0">
                  <c:v>92.1</c:v>
                </c:pt>
                <c:pt idx="1">
                  <c:v>98</c:v>
                </c:pt>
                <c:pt idx="2">
                  <c:v>80.2</c:v>
                </c:pt>
                <c:pt idx="3">
                  <c:v>81.8</c:v>
                </c:pt>
                <c:pt idx="4">
                  <c:v>90.8</c:v>
                </c:pt>
              </c:numCache>
            </c:numRef>
          </c:val>
        </c:ser>
        <c:dLbls>
          <c:showLegendKey val="0"/>
          <c:showVal val="0"/>
          <c:showCatName val="0"/>
          <c:showSerName val="0"/>
          <c:showPercent val="0"/>
          <c:showBubbleSize val="0"/>
        </c:dLbls>
        <c:gapWidth val="129"/>
        <c:overlap val="-27"/>
        <c:axId val="468196736"/>
        <c:axId val="499677824"/>
      </c:barChart>
      <c:catAx>
        <c:axId val="46819673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99677824"/>
        <c:crosses val="autoZero"/>
        <c:auto val="1"/>
        <c:lblAlgn val="ctr"/>
        <c:lblOffset val="100"/>
        <c:noMultiLvlLbl val="0"/>
      </c:catAx>
      <c:valAx>
        <c:axId val="499677824"/>
        <c:scaling>
          <c:orientation val="minMax"/>
        </c:scaling>
        <c:delete val="0"/>
        <c:axPos val="l"/>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68196736"/>
        <c:crosses val="autoZero"/>
        <c:crossBetween val="between"/>
      </c:valAx>
      <c:spPr>
        <a:noFill/>
        <a:ln>
          <a:solidFill>
            <a:schemeClr val="bg1"/>
          </a:solidFill>
        </a:ln>
        <a:effectLst/>
      </c:spPr>
    </c:plotArea>
    <c:plotVisOnly val="1"/>
    <c:dispBlanksAs val="gap"/>
    <c:showDLblsOverMax val="0"/>
  </c:chart>
  <c:spPr>
    <a:gradFill>
      <a:gsLst>
        <a:gs pos="0">
          <a:schemeClr val="accent1">
            <a:lumMod val="5000"/>
            <a:lumOff val="95000"/>
          </a:schemeClr>
        </a:gs>
        <a:gs pos="74000">
          <a:schemeClr val="accent6">
            <a:lumMod val="60000"/>
            <a:lumOff val="40000"/>
          </a:schemeClr>
        </a:gs>
        <a:gs pos="100000">
          <a:schemeClr val="accent6">
            <a:lumMod val="60000"/>
            <a:lumOff val="40000"/>
          </a:schemeClr>
        </a:gs>
      </a:gsLst>
      <a:lin ang="18900000" scaled="1"/>
    </a:gra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475" b="0" i="0" u="none" strike="noStrike" baseline="0">
                <a:solidFill>
                  <a:srgbClr val="000000"/>
                </a:solidFill>
                <a:latin typeface="Arial Cyr"/>
                <a:ea typeface="Arial Cyr"/>
                <a:cs typeface="Arial Cyr"/>
              </a:defRPr>
            </a:pPr>
            <a:r>
              <a:rPr lang="ru-RU" sz="1050" b="1" i="0" u="none" strike="noStrike" baseline="0">
                <a:solidFill>
                  <a:srgbClr val="000000"/>
                </a:solidFill>
                <a:latin typeface="Times New Roman"/>
                <a:cs typeface="Times New Roman"/>
              </a:rPr>
              <a:t>Динамика изменения показателя </a:t>
            </a:r>
          </a:p>
          <a:p>
            <a:pPr>
              <a:defRPr sz="475" b="0" i="0" u="none" strike="noStrike" baseline="0">
                <a:solidFill>
                  <a:srgbClr val="000000"/>
                </a:solidFill>
                <a:latin typeface="Arial Cyr"/>
                <a:ea typeface="Arial Cyr"/>
                <a:cs typeface="Arial Cyr"/>
              </a:defRPr>
            </a:pPr>
            <a:r>
              <a:rPr lang="ru-RU" sz="1050" b="1" i="0" u="none" strike="noStrike" baseline="0">
                <a:solidFill>
                  <a:srgbClr val="000000"/>
                </a:solidFill>
                <a:latin typeface="Times New Roman"/>
                <a:cs typeface="Times New Roman"/>
              </a:rPr>
              <a:t>"Количество расмотренных уголовных дел "</a:t>
            </a:r>
          </a:p>
          <a:p>
            <a:pPr>
              <a:defRPr sz="475" b="0" i="0" u="none" strike="noStrike" baseline="0">
                <a:solidFill>
                  <a:srgbClr val="000000"/>
                </a:solidFill>
                <a:latin typeface="Arial Cyr"/>
                <a:ea typeface="Arial Cyr"/>
                <a:cs typeface="Arial Cyr"/>
              </a:defRPr>
            </a:pPr>
            <a:r>
              <a:rPr lang="ru-RU" sz="1050" b="1" i="0" u="none" strike="noStrike" baseline="0">
                <a:solidFill>
                  <a:srgbClr val="000000"/>
                </a:solidFill>
                <a:latin typeface="Times New Roman"/>
                <a:cs typeface="Times New Roman"/>
              </a:rPr>
              <a:t> по  наиболее  весомым категориям уголовных  дел     </a:t>
            </a:r>
          </a:p>
          <a:p>
            <a:pPr>
              <a:defRPr sz="475" b="0" i="0" u="none" strike="noStrike" baseline="0">
                <a:solidFill>
                  <a:srgbClr val="000000"/>
                </a:solidFill>
                <a:latin typeface="Arial Cyr"/>
                <a:ea typeface="Arial Cyr"/>
                <a:cs typeface="Arial Cyr"/>
              </a:defRPr>
            </a:pPr>
            <a:r>
              <a:rPr lang="ru-RU" sz="1050" b="1" i="0" u="none" strike="noStrike" baseline="0">
                <a:solidFill>
                  <a:srgbClr val="000000"/>
                </a:solidFill>
                <a:latin typeface="Times New Roman"/>
                <a:cs typeface="Times New Roman"/>
              </a:rPr>
              <a:t>                 </a:t>
            </a:r>
          </a:p>
        </c:rich>
      </c:tx>
      <c:layout>
        <c:manualLayout>
          <c:xMode val="edge"/>
          <c:yMode val="edge"/>
          <c:x val="0.22337994458575214"/>
          <c:y val="2.9294044430013256E-2"/>
        </c:manualLayout>
      </c:layout>
      <c:overlay val="0"/>
      <c:spPr>
        <a:noFill/>
        <a:ln w="25400">
          <a:noFill/>
        </a:ln>
      </c:spPr>
    </c:title>
    <c:autoTitleDeleted val="0"/>
    <c:plotArea>
      <c:layout>
        <c:manualLayout>
          <c:layoutTarget val="inner"/>
          <c:xMode val="edge"/>
          <c:yMode val="edge"/>
          <c:x val="3.8024343904574542E-2"/>
          <c:y val="0.19352478847529014"/>
          <c:w val="0.94936525631787172"/>
          <c:h val="0.71991457301525319"/>
        </c:manualLayout>
      </c:layout>
      <c:lineChart>
        <c:grouping val="standard"/>
        <c:varyColors val="0"/>
        <c:ser>
          <c:idx val="0"/>
          <c:order val="0"/>
          <c:tx>
            <c:strRef>
              <c:f>Моидиаграммпомир!$A$41</c:f>
              <c:strCache>
                <c:ptCount val="1"/>
                <c:pt idx="0">
                  <c:v>111-118</c:v>
                </c:pt>
              </c:strCache>
            </c:strRef>
          </c:tx>
          <c:spPr>
            <a:ln w="25400">
              <a:solidFill>
                <a:srgbClr val="660066"/>
              </a:solidFill>
              <a:prstDash val="solid"/>
            </a:ln>
          </c:spPr>
          <c:marker>
            <c:symbol val="diamond"/>
            <c:size val="6"/>
            <c:spPr>
              <a:solidFill>
                <a:srgbClr val="FFFF99"/>
              </a:solidFill>
              <a:ln>
                <a:solidFill>
                  <a:srgbClr val="FF9900"/>
                </a:solidFill>
                <a:prstDash val="solid"/>
              </a:ln>
            </c:spPr>
          </c:marker>
          <c:dLbls>
            <c:dLbl>
              <c:idx val="0"/>
              <c:layout>
                <c:manualLayout>
                  <c:x val="-0.10247160423472039"/>
                  <c:y val="7.9721095678436771E-2"/>
                </c:manualLayout>
              </c:layout>
              <c:tx>
                <c:rich>
                  <a:bodyPr/>
                  <a:lstStyle/>
                  <a:p>
                    <a:r>
                      <a:rPr lang="ru-RU" sz="1000" baseline="0">
                        <a:latin typeface="Calibri" panose="020F0502020204030204" pitchFamily="34" charset="0"/>
                      </a:rPr>
                      <a:t>Ст. 111-118 УК РФ       559</a:t>
                    </a:r>
                    <a:endParaRPr lang="ru-RU"/>
                  </a:p>
                </c:rich>
              </c:tx>
              <c:dLblPos val="r"/>
              <c:showLegendKey val="0"/>
              <c:showVal val="0"/>
              <c:showCatName val="0"/>
              <c:showSerName val="0"/>
              <c:showPercent val="0"/>
              <c:showBubbleSize val="0"/>
            </c:dLbl>
            <c:dLbl>
              <c:idx val="1"/>
              <c:layout>
                <c:manualLayout>
                  <c:x val="-3.354847953517788E-2"/>
                  <c:y val="7.2986425302410882E-2"/>
                </c:manualLayout>
              </c:layout>
              <c:dLblPos val="r"/>
              <c:showLegendKey val="0"/>
              <c:showVal val="1"/>
              <c:showCatName val="0"/>
              <c:showSerName val="0"/>
              <c:showPercent val="0"/>
              <c:showBubbleSize val="0"/>
            </c:dLbl>
            <c:dLbl>
              <c:idx val="2"/>
              <c:layout>
                <c:manualLayout>
                  <c:x val="-4.0139175637034709E-2"/>
                  <c:y val="7.5985419920500508E-2"/>
                </c:manualLayout>
              </c:layout>
              <c:dLblPos val="r"/>
              <c:showLegendKey val="0"/>
              <c:showVal val="1"/>
              <c:showCatName val="0"/>
              <c:showSerName val="0"/>
              <c:showPercent val="0"/>
              <c:showBubbleSize val="0"/>
            </c:dLbl>
            <c:dLbl>
              <c:idx val="3"/>
              <c:layout>
                <c:manualLayout>
                  <c:x val="-3.8350774860213321E-2"/>
                  <c:y val="8.8016789578439253E-2"/>
                </c:manualLayout>
              </c:layout>
              <c:dLblPos val="r"/>
              <c:showLegendKey val="0"/>
              <c:showVal val="1"/>
              <c:showCatName val="0"/>
              <c:showSerName val="0"/>
              <c:showPercent val="0"/>
              <c:showBubbleSize val="0"/>
            </c:dLbl>
            <c:dLbl>
              <c:idx val="4"/>
              <c:layout>
                <c:manualLayout>
                  <c:x val="-3.5543857635907276E-2"/>
                  <c:y val="7.8963179827242005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660066"/>
                    </a:solidFill>
                    <a:latin typeface="Calibri" panose="020F0502020204030204" pitchFamily="34" charset="0"/>
                    <a:ea typeface="Times New Roman"/>
                    <a:cs typeface="Times New Roman"/>
                  </a:defRPr>
                </a:pPr>
                <a:endParaRPr lang="ru-RU"/>
              </a:p>
            </c:txPr>
            <c:showLegendKey val="0"/>
            <c:showVal val="1"/>
            <c:showCatName val="0"/>
            <c:showSerName val="0"/>
            <c:showPercent val="0"/>
            <c:showBubbleSize val="0"/>
            <c:showLeaderLines val="0"/>
          </c:dLbls>
          <c:cat>
            <c:numRef>
              <c:f>Моидиаграммпомир!$B$40:$F$40</c:f>
              <c:numCache>
                <c:formatCode>General</c:formatCode>
                <c:ptCount val="5"/>
                <c:pt idx="0">
                  <c:v>2013</c:v>
                </c:pt>
                <c:pt idx="1">
                  <c:v>2014</c:v>
                </c:pt>
                <c:pt idx="2">
                  <c:v>2015</c:v>
                </c:pt>
                <c:pt idx="3">
                  <c:v>2016</c:v>
                </c:pt>
                <c:pt idx="4">
                  <c:v>2017</c:v>
                </c:pt>
              </c:numCache>
            </c:numRef>
          </c:cat>
          <c:val>
            <c:numRef>
              <c:f>Моидиаграммпомир!$B$41:$F$41</c:f>
              <c:numCache>
                <c:formatCode>General</c:formatCode>
                <c:ptCount val="5"/>
                <c:pt idx="0">
                  <c:v>559</c:v>
                </c:pt>
                <c:pt idx="1">
                  <c:v>494</c:v>
                </c:pt>
                <c:pt idx="2">
                  <c:v>478</c:v>
                </c:pt>
                <c:pt idx="3">
                  <c:v>464</c:v>
                </c:pt>
                <c:pt idx="4">
                  <c:v>457</c:v>
                </c:pt>
              </c:numCache>
            </c:numRef>
          </c:val>
          <c:smooth val="0"/>
        </c:ser>
        <c:ser>
          <c:idx val="1"/>
          <c:order val="1"/>
          <c:tx>
            <c:strRef>
              <c:f>Моидиаграммпомир!$A$42</c:f>
              <c:strCache>
                <c:ptCount val="1"/>
                <c:pt idx="0">
                  <c:v>158</c:v>
                </c:pt>
              </c:strCache>
            </c:strRef>
          </c:tx>
          <c:spPr>
            <a:ln w="25400"/>
          </c:spPr>
          <c:marker>
            <c:symbol val="square"/>
            <c:size val="6"/>
          </c:marker>
          <c:dLbls>
            <c:dLbl>
              <c:idx val="0"/>
              <c:layout>
                <c:manualLayout>
                  <c:x val="-7.9612360808965277E-2"/>
                  <c:y val="6.9912115684380355E-2"/>
                </c:manualLayout>
              </c:layout>
              <c:tx>
                <c:rich>
                  <a:bodyPr/>
                  <a:lstStyle/>
                  <a:p>
                    <a:pPr>
                      <a:defRPr sz="1000" b="0" i="0" u="none" strike="noStrike" baseline="0">
                        <a:solidFill>
                          <a:srgbClr val="000000"/>
                        </a:solidFill>
                        <a:latin typeface="Calibri" panose="020F0502020204030204" pitchFamily="34" charset="0"/>
                        <a:ea typeface="Arial Cyr"/>
                        <a:cs typeface="Arial Cyr"/>
                      </a:defRPr>
                    </a:pPr>
                    <a:r>
                      <a:rPr lang="ru-RU" sz="1000" b="1" i="0" u="none" strike="noStrike" baseline="0">
                        <a:solidFill>
                          <a:srgbClr val="993300"/>
                        </a:solidFill>
                        <a:latin typeface="Calibri" panose="020F0502020204030204" pitchFamily="34" charset="0"/>
                        <a:cs typeface="Times New Roman"/>
                      </a:rPr>
                      <a:t>Ст.158 УК РФ </a:t>
                    </a:r>
                  </a:p>
                  <a:p>
                    <a:pPr>
                      <a:defRPr sz="1000" b="0" i="0" u="none" strike="noStrike" baseline="0">
                        <a:solidFill>
                          <a:srgbClr val="000000"/>
                        </a:solidFill>
                        <a:latin typeface="Calibri" panose="020F0502020204030204" pitchFamily="34" charset="0"/>
                        <a:ea typeface="Arial Cyr"/>
                        <a:cs typeface="Arial Cyr"/>
                      </a:defRPr>
                    </a:pPr>
                    <a:r>
                      <a:rPr lang="ru-RU" sz="1000" b="1" i="0" u="none" strike="noStrike" baseline="0">
                        <a:solidFill>
                          <a:srgbClr val="993300"/>
                        </a:solidFill>
                        <a:latin typeface="Calibri" panose="020F0502020204030204" pitchFamily="34" charset="0"/>
                        <a:cs typeface="Times New Roman"/>
                      </a:rPr>
                      <a:t>2451</a:t>
                    </a:r>
                    <a:endParaRPr lang="ru-RU" sz="1050" b="1" i="0" u="none" strike="noStrike" baseline="0">
                      <a:solidFill>
                        <a:srgbClr val="993300"/>
                      </a:solidFill>
                      <a:latin typeface="Times New Roman"/>
                      <a:cs typeface="Times New Roman"/>
                    </a:endParaRPr>
                  </a:p>
                </c:rich>
              </c:tx>
              <c:spPr/>
              <c:dLblPos val="r"/>
              <c:showLegendKey val="0"/>
              <c:showVal val="0"/>
              <c:showCatName val="0"/>
              <c:showSerName val="0"/>
              <c:showPercent val="0"/>
              <c:showBubbleSize val="0"/>
            </c:dLbl>
            <c:dLbl>
              <c:idx val="1"/>
              <c:layout>
                <c:manualLayout>
                  <c:x val="-3.6052147870581308E-2"/>
                  <c:y val="5.7829868170668292E-2"/>
                </c:manualLayout>
              </c:layout>
              <c:dLblPos val="r"/>
              <c:showLegendKey val="0"/>
              <c:showVal val="1"/>
              <c:showCatName val="0"/>
              <c:showSerName val="0"/>
              <c:showPercent val="0"/>
              <c:showBubbleSize val="0"/>
            </c:dLbl>
            <c:dLbl>
              <c:idx val="2"/>
              <c:layout>
                <c:manualLayout>
                  <c:x val="-2.8541283730876867E-2"/>
                  <c:y val="6.9395841804801878E-2"/>
                </c:manualLayout>
              </c:layout>
              <c:dLblPos val="r"/>
              <c:showLegendKey val="0"/>
              <c:showVal val="1"/>
              <c:showCatName val="0"/>
              <c:showSerName val="0"/>
              <c:showPercent val="0"/>
              <c:showBubbleSize val="0"/>
            </c:dLbl>
            <c:dLbl>
              <c:idx val="3"/>
              <c:layout>
                <c:manualLayout>
                  <c:x val="-2.5536938074995092E-2"/>
                  <c:y val="5.2046881353601415E-2"/>
                </c:manualLayout>
              </c:layout>
              <c:dLblPos val="r"/>
              <c:showLegendKey val="0"/>
              <c:showVal val="1"/>
              <c:showCatName val="0"/>
              <c:showSerName val="0"/>
              <c:showPercent val="0"/>
              <c:showBubbleSize val="0"/>
            </c:dLbl>
            <c:dLbl>
              <c:idx val="4"/>
              <c:layout>
                <c:manualLayout>
                  <c:x val="-4.5065184838226635E-2"/>
                  <c:y val="4.9155387945067998E-2"/>
                </c:manualLayout>
              </c:layout>
              <c:dLblPos val="r"/>
              <c:showLegendKey val="0"/>
              <c:showVal val="1"/>
              <c:showCatName val="0"/>
              <c:showSerName val="0"/>
              <c:showPercent val="0"/>
              <c:showBubbleSize val="0"/>
            </c:dLbl>
            <c:txPr>
              <a:bodyPr/>
              <a:lstStyle/>
              <a:p>
                <a:pPr>
                  <a:defRPr sz="1000" b="1" i="0" u="none" strike="noStrike" baseline="0">
                    <a:solidFill>
                      <a:srgbClr val="FF0000"/>
                    </a:solidFill>
                    <a:latin typeface="Calibri" panose="020F0502020204030204" pitchFamily="34" charset="0"/>
                    <a:ea typeface="Times New Roman"/>
                    <a:cs typeface="Times New Roman"/>
                  </a:defRPr>
                </a:pPr>
                <a:endParaRPr lang="ru-RU"/>
              </a:p>
            </c:txPr>
            <c:showLegendKey val="0"/>
            <c:showVal val="1"/>
            <c:showCatName val="0"/>
            <c:showSerName val="0"/>
            <c:showPercent val="0"/>
            <c:showBubbleSize val="0"/>
            <c:showLeaderLines val="0"/>
          </c:dLbls>
          <c:cat>
            <c:numRef>
              <c:f>Моидиаграммпомир!$B$40:$F$40</c:f>
              <c:numCache>
                <c:formatCode>General</c:formatCode>
                <c:ptCount val="5"/>
                <c:pt idx="0">
                  <c:v>2013</c:v>
                </c:pt>
                <c:pt idx="1">
                  <c:v>2014</c:v>
                </c:pt>
                <c:pt idx="2">
                  <c:v>2015</c:v>
                </c:pt>
                <c:pt idx="3">
                  <c:v>2016</c:v>
                </c:pt>
                <c:pt idx="4">
                  <c:v>2017</c:v>
                </c:pt>
              </c:numCache>
            </c:numRef>
          </c:cat>
          <c:val>
            <c:numRef>
              <c:f>Моидиаграммпомир!$B$42:$F$42</c:f>
              <c:numCache>
                <c:formatCode>General</c:formatCode>
                <c:ptCount val="5"/>
                <c:pt idx="0">
                  <c:v>2451</c:v>
                </c:pt>
                <c:pt idx="1">
                  <c:v>2193</c:v>
                </c:pt>
                <c:pt idx="2">
                  <c:v>2661</c:v>
                </c:pt>
                <c:pt idx="3">
                  <c:v>2291</c:v>
                </c:pt>
                <c:pt idx="4">
                  <c:v>1734</c:v>
                </c:pt>
              </c:numCache>
            </c:numRef>
          </c:val>
          <c:smooth val="0"/>
        </c:ser>
        <c:ser>
          <c:idx val="2"/>
          <c:order val="2"/>
          <c:tx>
            <c:strRef>
              <c:f>Моидиаграммпомир!$A$43</c:f>
              <c:strCache>
                <c:ptCount val="1"/>
                <c:pt idx="0">
                  <c:v>115-116</c:v>
                </c:pt>
              </c:strCache>
            </c:strRef>
          </c:tx>
          <c:spPr>
            <a:ln w="25400">
              <a:solidFill>
                <a:srgbClr val="00B050"/>
              </a:solidFill>
            </a:ln>
          </c:spPr>
          <c:marker>
            <c:symbol val="triangle"/>
            <c:size val="6"/>
          </c:marker>
          <c:dLbls>
            <c:dLbl>
              <c:idx val="0"/>
              <c:layout>
                <c:manualLayout>
                  <c:x val="-6.1309535965592167E-2"/>
                  <c:y val="5.4421807512639496E-2"/>
                </c:manualLayout>
              </c:layout>
              <c:dLblPos val="r"/>
              <c:showLegendKey val="0"/>
              <c:showVal val="1"/>
              <c:showCatName val="0"/>
              <c:showSerName val="0"/>
              <c:showPercent val="0"/>
              <c:showBubbleSize val="0"/>
            </c:dLbl>
            <c:dLbl>
              <c:idx val="1"/>
              <c:layout>
                <c:manualLayout>
                  <c:x val="-3.1545629386758645E-2"/>
                  <c:y val="5.4938374762134826E-2"/>
                </c:manualLayout>
              </c:layout>
              <c:dLblPos val="r"/>
              <c:showLegendKey val="0"/>
              <c:showVal val="1"/>
              <c:showCatName val="0"/>
              <c:showSerName val="0"/>
              <c:showPercent val="0"/>
              <c:showBubbleSize val="0"/>
            </c:dLbl>
            <c:dLbl>
              <c:idx val="2"/>
              <c:layout>
                <c:manualLayout>
                  <c:x val="-2.7039110902935978E-2"/>
                  <c:y val="4.6263894536534587E-2"/>
                </c:manualLayout>
              </c:layout>
              <c:dLblPos val="r"/>
              <c:showLegendKey val="0"/>
              <c:showVal val="1"/>
              <c:showCatName val="0"/>
              <c:showSerName val="0"/>
              <c:showPercent val="0"/>
              <c:showBubbleSize val="0"/>
            </c:dLbl>
            <c:dLbl>
              <c:idx val="3"/>
              <c:layout>
                <c:manualLayout>
                  <c:x val="-3.0043456558817756E-2"/>
                  <c:y val="6.3612854987735057E-2"/>
                </c:manualLayout>
              </c:layout>
              <c:dLblPos val="r"/>
              <c:showLegendKey val="0"/>
              <c:showVal val="1"/>
              <c:showCatName val="0"/>
              <c:showSerName val="0"/>
              <c:showPercent val="0"/>
              <c:showBubbleSize val="0"/>
            </c:dLbl>
            <c:dLbl>
              <c:idx val="4"/>
              <c:layout>
                <c:manualLayout>
                  <c:x val="-7.7750213217438993E-4"/>
                  <c:y val="-0.10580249377183194"/>
                </c:manualLayout>
              </c:layout>
              <c:tx>
                <c:rich>
                  <a:bodyPr/>
                  <a:lstStyle/>
                  <a:p>
                    <a:pPr>
                      <a:defRPr sz="1000" b="0" i="0" u="none" strike="noStrike" baseline="0">
                        <a:solidFill>
                          <a:srgbClr val="000000"/>
                        </a:solidFill>
                        <a:latin typeface="Calibri" panose="020F0502020204030204" pitchFamily="34" charset="0"/>
                        <a:ea typeface="Arial Cyr"/>
                        <a:cs typeface="Arial Cyr"/>
                      </a:defRPr>
                    </a:pPr>
                    <a:r>
                      <a:rPr lang="ru-RU" sz="1000" b="1" i="0" u="none" strike="noStrike" baseline="0">
                        <a:solidFill>
                          <a:srgbClr val="003300"/>
                        </a:solidFill>
                        <a:latin typeface="Calibri" panose="020F0502020204030204" pitchFamily="34" charset="0"/>
                        <a:cs typeface="Times New Roman"/>
                      </a:rPr>
                      <a:t>Ст.115-116 УК РФ </a:t>
                    </a:r>
                  </a:p>
                  <a:p>
                    <a:pPr>
                      <a:defRPr sz="1000" b="0" i="0" u="none" strike="noStrike" baseline="0">
                        <a:solidFill>
                          <a:srgbClr val="000000"/>
                        </a:solidFill>
                        <a:latin typeface="Calibri" panose="020F0502020204030204" pitchFamily="34" charset="0"/>
                        <a:ea typeface="Arial Cyr"/>
                        <a:cs typeface="Arial Cyr"/>
                      </a:defRPr>
                    </a:pPr>
                    <a:r>
                      <a:rPr lang="ru-RU" sz="1000" b="1" i="0" u="none" strike="noStrike" baseline="0">
                        <a:solidFill>
                          <a:srgbClr val="003300"/>
                        </a:solidFill>
                        <a:latin typeface="Calibri" panose="020F0502020204030204" pitchFamily="34" charset="0"/>
                        <a:cs typeface="Times New Roman"/>
                      </a:rPr>
                      <a:t>249</a:t>
                    </a:r>
                    <a:endParaRPr lang="ru-RU" sz="1050" b="1" i="0" u="none" strike="noStrike" baseline="0">
                      <a:solidFill>
                        <a:srgbClr val="003300"/>
                      </a:solidFill>
                      <a:latin typeface="Times New Roman"/>
                      <a:cs typeface="Times New Roman"/>
                    </a:endParaRPr>
                  </a:p>
                </c:rich>
              </c:tx>
              <c:spPr/>
              <c:dLblPos val="r"/>
              <c:showLegendKey val="0"/>
              <c:showVal val="0"/>
              <c:showCatName val="0"/>
              <c:showSerName val="0"/>
              <c:showPercent val="0"/>
              <c:showBubbleSize val="0"/>
            </c:dLbl>
            <c:txPr>
              <a:bodyPr/>
              <a:lstStyle/>
              <a:p>
                <a:pPr>
                  <a:defRPr sz="1000" b="1" i="0" u="none" strike="noStrike" baseline="0">
                    <a:solidFill>
                      <a:srgbClr val="003300"/>
                    </a:solidFill>
                    <a:latin typeface="Calibri" panose="020F0502020204030204" pitchFamily="34" charset="0"/>
                    <a:ea typeface="Times New Roman"/>
                    <a:cs typeface="Times New Roman"/>
                  </a:defRPr>
                </a:pPr>
                <a:endParaRPr lang="ru-RU"/>
              </a:p>
            </c:txPr>
            <c:showLegendKey val="0"/>
            <c:showVal val="1"/>
            <c:showCatName val="0"/>
            <c:showSerName val="0"/>
            <c:showPercent val="0"/>
            <c:showBubbleSize val="0"/>
            <c:showLeaderLines val="0"/>
          </c:dLbls>
          <c:cat>
            <c:numRef>
              <c:f>Моидиаграммпомир!$B$40:$F$40</c:f>
              <c:numCache>
                <c:formatCode>General</c:formatCode>
                <c:ptCount val="5"/>
                <c:pt idx="0">
                  <c:v>2013</c:v>
                </c:pt>
                <c:pt idx="1">
                  <c:v>2014</c:v>
                </c:pt>
                <c:pt idx="2">
                  <c:v>2015</c:v>
                </c:pt>
                <c:pt idx="3">
                  <c:v>2016</c:v>
                </c:pt>
                <c:pt idx="4">
                  <c:v>2017</c:v>
                </c:pt>
              </c:numCache>
            </c:numRef>
          </c:cat>
          <c:val>
            <c:numRef>
              <c:f>Моидиаграммпомир!$B$43:$F$43</c:f>
              <c:numCache>
                <c:formatCode>General</c:formatCode>
                <c:ptCount val="5"/>
                <c:pt idx="0">
                  <c:v>1554</c:v>
                </c:pt>
                <c:pt idx="1">
                  <c:v>1311</c:v>
                </c:pt>
                <c:pt idx="2">
                  <c:v>1546</c:v>
                </c:pt>
                <c:pt idx="3">
                  <c:v>1082</c:v>
                </c:pt>
                <c:pt idx="4">
                  <c:v>249</c:v>
                </c:pt>
              </c:numCache>
            </c:numRef>
          </c:val>
          <c:smooth val="0"/>
        </c:ser>
        <c:ser>
          <c:idx val="3"/>
          <c:order val="3"/>
          <c:tx>
            <c:strRef>
              <c:f>Моидиаграммпомир!$A$44</c:f>
              <c:strCache>
                <c:ptCount val="1"/>
                <c:pt idx="0">
                  <c:v>159</c:v>
                </c:pt>
              </c:strCache>
            </c:strRef>
          </c:tx>
          <c:spPr>
            <a:ln w="25400"/>
          </c:spPr>
          <c:marker>
            <c:symbol val="x"/>
            <c:size val="6"/>
          </c:marker>
          <c:dLbls>
            <c:dLbl>
              <c:idx val="0"/>
              <c:layout>
                <c:manualLayout>
                  <c:x val="-9.648255247612629E-2"/>
                  <c:y val="-7.2287360754760971E-2"/>
                </c:manualLayout>
              </c:layout>
              <c:tx>
                <c:rich>
                  <a:bodyPr/>
                  <a:lstStyle/>
                  <a:p>
                    <a:pPr>
                      <a:defRPr sz="1000" b="0" i="0" u="none" strike="noStrike" baseline="0">
                        <a:solidFill>
                          <a:srgbClr val="000000"/>
                        </a:solidFill>
                        <a:latin typeface="Calibri" panose="020F0502020204030204" pitchFamily="34" charset="0"/>
                        <a:ea typeface="Arial Cyr"/>
                        <a:cs typeface="Arial Cyr"/>
                      </a:defRPr>
                    </a:pPr>
                    <a:r>
                      <a:rPr lang="ru-RU" sz="1000" b="1" i="0" u="none" strike="noStrike" baseline="0">
                        <a:solidFill>
                          <a:srgbClr val="333333"/>
                        </a:solidFill>
                        <a:latin typeface="Calibri" panose="020F0502020204030204" pitchFamily="34" charset="0"/>
                        <a:cs typeface="Times New Roman"/>
                      </a:rPr>
                      <a:t>Ст.159 УК РФ</a:t>
                    </a:r>
                  </a:p>
                  <a:p>
                    <a:pPr>
                      <a:defRPr sz="1000" b="0" i="0" u="none" strike="noStrike" baseline="0">
                        <a:solidFill>
                          <a:srgbClr val="000000"/>
                        </a:solidFill>
                        <a:latin typeface="Calibri" panose="020F0502020204030204" pitchFamily="34" charset="0"/>
                        <a:ea typeface="Arial Cyr"/>
                        <a:cs typeface="Arial Cyr"/>
                      </a:defRPr>
                    </a:pPr>
                    <a:r>
                      <a:rPr lang="ru-RU" sz="1000" b="1" i="0" u="none" strike="noStrike" baseline="0">
                        <a:solidFill>
                          <a:srgbClr val="333333"/>
                        </a:solidFill>
                        <a:latin typeface="Calibri" panose="020F0502020204030204" pitchFamily="34" charset="0"/>
                        <a:cs typeface="Times New Roman"/>
                      </a:rPr>
                      <a:t>462</a:t>
                    </a:r>
                    <a:endParaRPr lang="ru-RU" sz="1150" b="1" i="0" u="none" strike="noStrike" baseline="0">
                      <a:solidFill>
                        <a:srgbClr val="333333"/>
                      </a:solidFill>
                      <a:latin typeface="Times New Roman"/>
                      <a:cs typeface="Times New Roman"/>
                    </a:endParaRPr>
                  </a:p>
                </c:rich>
              </c:tx>
              <c:spPr/>
              <c:dLblPos val="r"/>
              <c:showLegendKey val="0"/>
              <c:showVal val="0"/>
              <c:showCatName val="0"/>
              <c:showSerName val="0"/>
              <c:showPercent val="0"/>
              <c:showBubbleSize val="0"/>
            </c:dLbl>
            <c:dLbl>
              <c:idx val="1"/>
              <c:layout>
                <c:manualLayout>
                  <c:x val="-4.9517099768834269E-2"/>
                  <c:y val="-5.4938374762134826E-2"/>
                </c:manualLayout>
              </c:layout>
              <c:dLblPos val="r"/>
              <c:showLegendKey val="0"/>
              <c:showVal val="1"/>
              <c:showCatName val="0"/>
              <c:showSerName val="0"/>
              <c:showPercent val="0"/>
              <c:showBubbleSize val="0"/>
            </c:dLbl>
            <c:dLbl>
              <c:idx val="2"/>
              <c:layout>
                <c:manualLayout>
                  <c:x val="-4.2783687788078562E-2"/>
                  <c:y val="-8.5993774962696334E-2"/>
                </c:manualLayout>
              </c:layout>
              <c:dLblPos val="r"/>
              <c:showLegendKey val="0"/>
              <c:showVal val="1"/>
              <c:showCatName val="0"/>
              <c:showSerName val="0"/>
              <c:showPercent val="0"/>
              <c:showBubbleSize val="0"/>
            </c:dLbl>
            <c:dLbl>
              <c:idx val="3"/>
              <c:layout>
                <c:manualLayout>
                  <c:x val="-1.2573588785816235E-2"/>
                  <c:y val="-7.329271034103893E-2"/>
                </c:manualLayout>
              </c:layout>
              <c:dLblPos val="r"/>
              <c:showLegendKey val="0"/>
              <c:showVal val="1"/>
              <c:showCatName val="0"/>
              <c:showSerName val="0"/>
              <c:showPercent val="0"/>
              <c:showBubbleSize val="0"/>
            </c:dLbl>
            <c:dLbl>
              <c:idx val="4"/>
              <c:layout>
                <c:manualLayout>
                  <c:x val="1.014302343787228E-3"/>
                  <c:y val="-2.5282646258838609E-2"/>
                </c:manualLayout>
              </c:layout>
              <c:dLblPos val="r"/>
              <c:showLegendKey val="0"/>
              <c:showVal val="1"/>
              <c:showCatName val="0"/>
              <c:showSerName val="0"/>
              <c:showPercent val="0"/>
              <c:showBubbleSize val="0"/>
            </c:dLbl>
            <c:txPr>
              <a:bodyPr/>
              <a:lstStyle/>
              <a:p>
                <a:pPr>
                  <a:defRPr sz="1000" b="1" i="0" u="none" strike="noStrike" baseline="0">
                    <a:solidFill>
                      <a:srgbClr val="003366"/>
                    </a:solidFill>
                    <a:latin typeface="Calibri" panose="020F0502020204030204" pitchFamily="34" charset="0"/>
                    <a:ea typeface="Times New Roman"/>
                    <a:cs typeface="Times New Roman"/>
                  </a:defRPr>
                </a:pPr>
                <a:endParaRPr lang="ru-RU"/>
              </a:p>
            </c:txPr>
            <c:showLegendKey val="0"/>
            <c:showVal val="1"/>
            <c:showCatName val="0"/>
            <c:showSerName val="0"/>
            <c:showPercent val="0"/>
            <c:showBubbleSize val="0"/>
            <c:showLeaderLines val="0"/>
          </c:dLbls>
          <c:cat>
            <c:numRef>
              <c:f>Моидиаграммпомир!$B$40:$F$40</c:f>
              <c:numCache>
                <c:formatCode>General</c:formatCode>
                <c:ptCount val="5"/>
                <c:pt idx="0">
                  <c:v>2013</c:v>
                </c:pt>
                <c:pt idx="1">
                  <c:v>2014</c:v>
                </c:pt>
                <c:pt idx="2">
                  <c:v>2015</c:v>
                </c:pt>
                <c:pt idx="3">
                  <c:v>2016</c:v>
                </c:pt>
                <c:pt idx="4">
                  <c:v>2017</c:v>
                </c:pt>
              </c:numCache>
            </c:numRef>
          </c:cat>
          <c:val>
            <c:numRef>
              <c:f>Моидиаграммпомир!$B$44:$F$44</c:f>
              <c:numCache>
                <c:formatCode>0</c:formatCode>
                <c:ptCount val="5"/>
                <c:pt idx="0" formatCode="General">
                  <c:v>462</c:v>
                </c:pt>
                <c:pt idx="1">
                  <c:v>419</c:v>
                </c:pt>
                <c:pt idx="2" formatCode="General">
                  <c:v>304</c:v>
                </c:pt>
                <c:pt idx="3" formatCode="General">
                  <c:v>290</c:v>
                </c:pt>
                <c:pt idx="4" formatCode="General">
                  <c:v>308</c:v>
                </c:pt>
              </c:numCache>
            </c:numRef>
          </c:val>
          <c:smooth val="0"/>
        </c:ser>
        <c:dLbls>
          <c:showLegendKey val="0"/>
          <c:showVal val="0"/>
          <c:showCatName val="0"/>
          <c:showSerName val="0"/>
          <c:showPercent val="0"/>
          <c:showBubbleSize val="0"/>
        </c:dLbls>
        <c:marker val="1"/>
        <c:smooth val="0"/>
        <c:axId val="293264384"/>
        <c:axId val="293290752"/>
      </c:lineChart>
      <c:catAx>
        <c:axId val="293264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panose="020F0502020204030204" pitchFamily="34" charset="0"/>
                <a:ea typeface="Times New Roman"/>
                <a:cs typeface="Times New Roman"/>
              </a:defRPr>
            </a:pPr>
            <a:endParaRPr lang="ru-RU"/>
          </a:p>
        </c:txPr>
        <c:crossAx val="293290752"/>
        <c:crosses val="autoZero"/>
        <c:auto val="1"/>
        <c:lblAlgn val="ctr"/>
        <c:lblOffset val="100"/>
        <c:tickLblSkip val="1"/>
        <c:tickMarkSkip val="1"/>
        <c:noMultiLvlLbl val="0"/>
      </c:catAx>
      <c:valAx>
        <c:axId val="29329075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550" b="0" i="0" u="none" strike="noStrike" baseline="0">
                <a:solidFill>
                  <a:srgbClr val="000000"/>
                </a:solidFill>
                <a:latin typeface="Arial Cyr"/>
                <a:ea typeface="Arial Cyr"/>
                <a:cs typeface="Arial Cyr"/>
              </a:defRPr>
            </a:pPr>
            <a:endParaRPr lang="ru-RU"/>
          </a:p>
        </c:txPr>
        <c:crossAx val="293264384"/>
        <c:crosses val="autoZero"/>
        <c:crossBetween val="between"/>
      </c:valAx>
      <c:spPr>
        <a:gradFill rotWithShape="0">
          <a:gsLst>
            <a:gs pos="43000">
              <a:srgbClr val="FFFF99"/>
            </a:gs>
            <a:gs pos="100000">
              <a:srgbClr val="66653D"/>
            </a:gs>
          </a:gsLst>
          <a:lin ang="18900000" scaled="1"/>
        </a:gradFill>
        <a:ln w="3175">
          <a:noFill/>
          <a:prstDash val="solid"/>
        </a:ln>
      </c:spPr>
    </c:plotArea>
    <c:plotVisOnly val="1"/>
    <c:dispBlanksAs val="gap"/>
    <c:showDLblsOverMax val="0"/>
  </c:chart>
  <c:spPr>
    <a:gradFill rotWithShape="0">
      <a:gsLst>
        <a:gs pos="33000">
          <a:srgbClr val="FFFF99"/>
        </a:gs>
        <a:gs pos="85000">
          <a:srgbClr val="FFFF99">
            <a:gamma/>
            <a:shade val="46275"/>
            <a:invGamma/>
          </a:srgbClr>
        </a:gs>
      </a:gsLst>
      <a:lin ang="18900000" scaled="1"/>
    </a:gradFill>
    <a:ln w="3175">
      <a:solidFill>
        <a:srgbClr val="000000"/>
      </a:solidFill>
      <a:prstDash val="solid"/>
    </a:ln>
  </c:spPr>
  <c:txPr>
    <a:bodyPr/>
    <a:lstStyle/>
    <a:p>
      <a:pPr>
        <a:defRPr sz="4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ysClr val="windowText" lastClr="000000"/>
                </a:solidFill>
                <a:latin typeface="Times New Roman" panose="02020603050405020304" pitchFamily="18" charset="0"/>
                <a:ea typeface="Arial Cyr"/>
                <a:cs typeface="Arial Cyr"/>
              </a:defRPr>
            </a:pPr>
            <a:r>
              <a:rPr lang="ru-RU" sz="1100" baseline="0">
                <a:solidFill>
                  <a:sysClr val="windowText" lastClr="000000"/>
                </a:solidFill>
                <a:latin typeface="Times New Roman" panose="02020603050405020304" pitchFamily="18" charset="0"/>
              </a:rPr>
              <a:t>Категории уголовных дел, рассмотренных 
 мировыми судьями РТ в 2015-2017 гг.
</a:t>
            </a:r>
          </a:p>
        </c:rich>
      </c:tx>
      <c:layout>
        <c:manualLayout>
          <c:xMode val="edge"/>
          <c:yMode val="edge"/>
          <c:x val="0.27445476948511532"/>
          <c:y val="3.3275277091625111E-3"/>
        </c:manualLayout>
      </c:layout>
      <c:overlay val="0"/>
      <c:spPr>
        <a:noFill/>
        <a:ln w="25400">
          <a:noFill/>
        </a:ln>
      </c:spPr>
    </c:title>
    <c:autoTitleDeleted val="0"/>
    <c:plotArea>
      <c:layout>
        <c:manualLayout>
          <c:layoutTarget val="inner"/>
          <c:xMode val="edge"/>
          <c:yMode val="edge"/>
          <c:x val="4.1151166926664595E-2"/>
          <c:y val="2.8170680297783399E-2"/>
          <c:w val="0.92653082623097471"/>
          <c:h val="0.473124375012417"/>
        </c:manualLayout>
      </c:layout>
      <c:barChart>
        <c:barDir val="col"/>
        <c:grouping val="clustered"/>
        <c:varyColors val="0"/>
        <c:ser>
          <c:idx val="0"/>
          <c:order val="0"/>
          <c:tx>
            <c:strRef>
              <c:f>ДИАГР9!$B$6</c:f>
              <c:strCache>
                <c:ptCount val="1"/>
                <c:pt idx="0">
                  <c:v>2015</c:v>
                </c:pt>
              </c:strCache>
            </c:strRef>
          </c:tx>
          <c:spPr>
            <a:gradFill rotWithShape="0">
              <a:gsLst>
                <a:gs pos="0">
                  <a:srgbClr val="99CC00"/>
                </a:gs>
                <a:gs pos="100000">
                  <a:srgbClr val="CCFFCC"/>
                </a:gs>
              </a:gsLst>
              <a:lin ang="0" scaled="1"/>
            </a:gradFill>
            <a:ln w="12700">
              <a:solidFill>
                <a:srgbClr val="000000"/>
              </a:solidFill>
              <a:prstDash val="solid"/>
            </a:ln>
          </c:spPr>
          <c:invertIfNegative val="0"/>
          <c:dLbls>
            <c:dLbl>
              <c:idx val="0"/>
              <c:layout>
                <c:manualLayout>
                  <c:x val="-4.8241790854608819E-3"/>
                  <c:y val="1.6456218645231207E-2"/>
                </c:manualLayout>
              </c:layout>
              <c:dLblPos val="outEnd"/>
              <c:showLegendKey val="0"/>
              <c:showVal val="1"/>
              <c:showCatName val="0"/>
              <c:showSerName val="0"/>
              <c:showPercent val="0"/>
              <c:showBubbleSize val="0"/>
            </c:dLbl>
            <c:dLbl>
              <c:idx val="1"/>
              <c:layout>
                <c:manualLayout>
                  <c:x val="-1.8650577435199234E-3"/>
                  <c:y val="0.18739299667768769"/>
                </c:manualLayout>
              </c:layout>
              <c:dLblPos val="outEnd"/>
              <c:showLegendKey val="0"/>
              <c:showVal val="1"/>
              <c:showCatName val="0"/>
              <c:showSerName val="0"/>
              <c:showPercent val="0"/>
              <c:showBubbleSize val="0"/>
            </c:dLbl>
            <c:dLbl>
              <c:idx val="3"/>
              <c:layout>
                <c:manualLayout>
                  <c:x val="-1.3123869781556483E-3"/>
                  <c:y val="3.5745961412741293E-3"/>
                </c:manualLayout>
              </c:layout>
              <c:dLblPos val="outEnd"/>
              <c:showLegendKey val="0"/>
              <c:showVal val="1"/>
              <c:showCatName val="0"/>
              <c:showSerName val="0"/>
              <c:showPercent val="0"/>
              <c:showBubbleSize val="0"/>
            </c:dLbl>
            <c:dLbl>
              <c:idx val="4"/>
              <c:layout>
                <c:manualLayout>
                  <c:x val="-1.3123869781556483E-3"/>
                  <c:y val="5.7299152497185192E-4"/>
                </c:manualLayout>
              </c:layout>
              <c:dLblPos val="outEnd"/>
              <c:showLegendKey val="0"/>
              <c:showVal val="1"/>
              <c:showCatName val="0"/>
              <c:showSerName val="0"/>
              <c:showPercent val="0"/>
              <c:showBubbleSize val="0"/>
            </c:dLbl>
            <c:dLbl>
              <c:idx val="5"/>
              <c:layout>
                <c:manualLayout>
                  <c:x val="-2.3527329323641519E-4"/>
                  <c:y val="-7.8662032213370938E-4"/>
                </c:manualLayout>
              </c:layout>
              <c:dLblPos val="outEnd"/>
              <c:showLegendKey val="0"/>
              <c:showVal val="1"/>
              <c:showCatName val="0"/>
              <c:showSerName val="0"/>
              <c:showPercent val="0"/>
              <c:showBubbleSize val="0"/>
            </c:dLbl>
            <c:dLbl>
              <c:idx val="6"/>
              <c:layout>
                <c:manualLayout>
                  <c:x val="2.9545620520183163E-3"/>
                  <c:y val="0.15322116795893009"/>
                </c:manualLayout>
              </c:layout>
              <c:dLblPos val="outEnd"/>
              <c:showLegendKey val="0"/>
              <c:showVal val="1"/>
              <c:showCatName val="0"/>
              <c:showSerName val="0"/>
              <c:showPercent val="0"/>
              <c:showBubbleSize val="0"/>
            </c:dLbl>
            <c:spPr>
              <a:noFill/>
              <a:ln w="25400">
                <a:noFill/>
              </a:ln>
            </c:spPr>
            <c:txPr>
              <a:bodyPr rot="-5400000" vert="horz"/>
              <a:lstStyle/>
              <a:p>
                <a:pPr algn="ctr">
                  <a:defRPr sz="1000" b="1" i="0" u="none" strike="noStrike" baseline="0">
                    <a:solidFill>
                      <a:sysClr val="windowText" lastClr="000000"/>
                    </a:solidFill>
                    <a:latin typeface="Calibri" panose="020F0502020204030204" pitchFamily="34" charset="0"/>
                    <a:ea typeface="Arial Cyr"/>
                    <a:cs typeface="Arial Cyr"/>
                  </a:defRPr>
                </a:pPr>
                <a:endParaRPr lang="ru-RU"/>
              </a:p>
            </c:txPr>
            <c:dLblPos val="outEnd"/>
            <c:showLegendKey val="0"/>
            <c:showVal val="1"/>
            <c:showCatName val="0"/>
            <c:showSerName val="0"/>
            <c:showPercent val="0"/>
            <c:showBubbleSize val="0"/>
            <c:showLeaderLines val="0"/>
          </c:dLbls>
          <c:cat>
            <c:strRef>
              <c:f>ДИАГР9!$C$5:$I$5</c:f>
              <c:strCache>
                <c:ptCount val="7"/>
                <c:pt idx="0">
                  <c:v>Дела част-го обвинения</c:v>
                </c:pt>
                <c:pt idx="1">
                  <c:v>Кража</c:v>
                </c:pt>
                <c:pt idx="2">
                  <c:v>Умыш-ое прич-ие тяж-го либо ср-ей тяж-ти вреда здор-ю</c:v>
                </c:pt>
                <c:pt idx="3">
                  <c:v>Мошеннийчество</c:v>
                </c:pt>
                <c:pt idx="4">
                  <c:v>Нарушение правил безопаст-ти движения</c:v>
                </c:pt>
                <c:pt idx="5">
                  <c:v>Прест-ия против лиц, осущ-щих правосудие</c:v>
                </c:pt>
                <c:pt idx="6">
                  <c:v>Иные преступления</c:v>
                </c:pt>
              </c:strCache>
            </c:strRef>
          </c:cat>
          <c:val>
            <c:numRef>
              <c:f>ДИАГР9!$C$6:$I$6</c:f>
              <c:numCache>
                <c:formatCode>0.0</c:formatCode>
                <c:ptCount val="7"/>
                <c:pt idx="0">
                  <c:v>16.399999999999999</c:v>
                </c:pt>
                <c:pt idx="1">
                  <c:v>28.2</c:v>
                </c:pt>
                <c:pt idx="2">
                  <c:v>5.0999999999999996</c:v>
                </c:pt>
                <c:pt idx="3">
                  <c:v>3.2</c:v>
                </c:pt>
                <c:pt idx="4">
                  <c:v>4.2</c:v>
                </c:pt>
                <c:pt idx="5">
                  <c:v>3.4</c:v>
                </c:pt>
                <c:pt idx="6">
                  <c:v>36.299999999999997</c:v>
                </c:pt>
              </c:numCache>
            </c:numRef>
          </c:val>
        </c:ser>
        <c:ser>
          <c:idx val="1"/>
          <c:order val="1"/>
          <c:tx>
            <c:strRef>
              <c:f>ДИАГР9!$B$7</c:f>
              <c:strCache>
                <c:ptCount val="1"/>
                <c:pt idx="0">
                  <c:v>2016</c:v>
                </c:pt>
              </c:strCache>
            </c:strRef>
          </c:tx>
          <c:spPr>
            <a:gradFill rotWithShape="0">
              <a:gsLst>
                <a:gs pos="0">
                  <a:srgbClr val="993300"/>
                </a:gs>
                <a:gs pos="100000">
                  <a:srgbClr val="FFCC99"/>
                </a:gs>
              </a:gsLst>
              <a:lin ang="0" scaled="1"/>
            </a:gradFill>
            <a:ln w="12700">
              <a:solidFill>
                <a:srgbClr val="000000"/>
              </a:solidFill>
              <a:prstDash val="solid"/>
            </a:ln>
          </c:spPr>
          <c:invertIfNegative val="0"/>
          <c:dLbls>
            <c:dLbl>
              <c:idx val="0"/>
              <c:layout>
                <c:manualLayout>
                  <c:x val="3.363795699375836E-3"/>
                  <c:y val="1.3455430706650687E-2"/>
                </c:manualLayout>
              </c:layout>
              <c:tx>
                <c:rich>
                  <a:bodyPr/>
                  <a:lstStyle/>
                  <a:p>
                    <a:r>
                      <a:rPr lang="en-US" sz="1000" baseline="0">
                        <a:solidFill>
                          <a:sysClr val="windowText" lastClr="000000"/>
                        </a:solidFill>
                        <a:latin typeface="Calibri" panose="020F0502020204030204" pitchFamily="34" charset="0"/>
                      </a:rPr>
                      <a:t>10,7</a:t>
                    </a:r>
                    <a:endParaRPr lang="en-US" sz="1000" baseline="0">
                      <a:solidFill>
                        <a:srgbClr val="FFFF00"/>
                      </a:solidFill>
                      <a:latin typeface="Calibri" panose="020F0502020204030204" pitchFamily="34" charset="0"/>
                    </a:endParaRPr>
                  </a:p>
                </c:rich>
              </c:tx>
              <c:dLblPos val="outEnd"/>
              <c:showLegendKey val="0"/>
              <c:showVal val="1"/>
              <c:showCatName val="0"/>
              <c:showSerName val="0"/>
              <c:showPercent val="0"/>
              <c:showBubbleSize val="0"/>
            </c:dLbl>
            <c:dLbl>
              <c:idx val="1"/>
              <c:layout>
                <c:manualLayout>
                  <c:x val="5.7121791973349125E-4"/>
                  <c:y val="0.14891377038542777"/>
                </c:manualLayout>
              </c:layout>
              <c:dLblPos val="outEnd"/>
              <c:showLegendKey val="0"/>
              <c:showVal val="1"/>
              <c:showCatName val="0"/>
              <c:showSerName val="0"/>
              <c:showPercent val="0"/>
              <c:showBubbleSize val="0"/>
            </c:dLbl>
            <c:dLbl>
              <c:idx val="3"/>
              <c:layout>
                <c:manualLayout>
                  <c:x val="-2.0654222497611856E-3"/>
                  <c:y val="-1.4165852414048271E-2"/>
                </c:manualLayout>
              </c:layout>
              <c:dLblPos val="outEnd"/>
              <c:showLegendKey val="0"/>
              <c:showVal val="1"/>
              <c:showCatName val="0"/>
              <c:showSerName val="0"/>
              <c:showPercent val="0"/>
              <c:showBubbleSize val="0"/>
            </c:dLbl>
            <c:dLbl>
              <c:idx val="4"/>
              <c:layout>
                <c:manualLayout>
                  <c:x val="2.875885545537487E-4"/>
                  <c:y val="6.4179400009776455E-3"/>
                </c:manualLayout>
              </c:layout>
              <c:dLblPos val="outEnd"/>
              <c:showLegendKey val="0"/>
              <c:showVal val="1"/>
              <c:showCatName val="0"/>
              <c:showSerName val="0"/>
              <c:showPercent val="0"/>
              <c:showBubbleSize val="0"/>
            </c:dLbl>
            <c:dLbl>
              <c:idx val="5"/>
              <c:layout>
                <c:manualLayout>
                  <c:x val="-2.0654222497610919E-3"/>
                  <c:y val="-8.5238918777679803E-3"/>
                </c:manualLayout>
              </c:layout>
              <c:dLblPos val="outEnd"/>
              <c:showLegendKey val="0"/>
              <c:showVal val="1"/>
              <c:showCatName val="0"/>
              <c:showSerName val="0"/>
              <c:showPercent val="0"/>
              <c:showBubbleSize val="0"/>
            </c:dLbl>
            <c:dLbl>
              <c:idx val="6"/>
              <c:layout>
                <c:manualLayout>
                  <c:x val="3.3330035168450357E-3"/>
                  <c:y val="0.19325024043393127"/>
                </c:manualLayout>
              </c:layout>
              <c:dLblPos val="outEnd"/>
              <c:showLegendKey val="0"/>
              <c:showVal val="1"/>
              <c:showCatName val="0"/>
              <c:showSerName val="0"/>
              <c:showPercent val="0"/>
              <c:showBubbleSize val="0"/>
            </c:dLbl>
            <c:spPr>
              <a:noFill/>
              <a:ln w="25400">
                <a:noFill/>
              </a:ln>
            </c:spPr>
            <c:txPr>
              <a:bodyPr rot="-5400000" vert="horz"/>
              <a:lstStyle/>
              <a:p>
                <a:pPr algn="ctr">
                  <a:defRPr sz="1000" b="1" i="0" u="none" strike="noStrike" baseline="0">
                    <a:solidFill>
                      <a:sysClr val="windowText" lastClr="000000"/>
                    </a:solidFill>
                    <a:latin typeface="Calibri" panose="020F0502020204030204" pitchFamily="34" charset="0"/>
                    <a:ea typeface="Arial Cyr"/>
                    <a:cs typeface="Arial Cyr"/>
                  </a:defRPr>
                </a:pPr>
                <a:endParaRPr lang="ru-RU"/>
              </a:p>
            </c:txPr>
            <c:dLblPos val="outEnd"/>
            <c:showLegendKey val="0"/>
            <c:showVal val="1"/>
            <c:showCatName val="0"/>
            <c:showSerName val="0"/>
            <c:showPercent val="0"/>
            <c:showBubbleSize val="0"/>
            <c:showLeaderLines val="0"/>
          </c:dLbls>
          <c:cat>
            <c:strRef>
              <c:f>ДИАГР9!$C$5:$I$5</c:f>
              <c:strCache>
                <c:ptCount val="7"/>
                <c:pt idx="0">
                  <c:v>Дела част-го обвинения</c:v>
                </c:pt>
                <c:pt idx="1">
                  <c:v>Кража</c:v>
                </c:pt>
                <c:pt idx="2">
                  <c:v>Умыш-ое прич-ие тяж-го либо ср-ей тяж-ти вреда здор-ю</c:v>
                </c:pt>
                <c:pt idx="3">
                  <c:v>Мошеннийчество</c:v>
                </c:pt>
                <c:pt idx="4">
                  <c:v>Нарушение правил безопаст-ти движения</c:v>
                </c:pt>
                <c:pt idx="5">
                  <c:v>Прест-ия против лиц, осущ-щих правосудие</c:v>
                </c:pt>
                <c:pt idx="6">
                  <c:v>Иные преступления</c:v>
                </c:pt>
              </c:strCache>
            </c:strRef>
          </c:cat>
          <c:val>
            <c:numRef>
              <c:f>ДИАГР9!$C$7:$I$7</c:f>
              <c:numCache>
                <c:formatCode>0.0</c:formatCode>
                <c:ptCount val="7"/>
                <c:pt idx="0">
                  <c:v>10.7</c:v>
                </c:pt>
                <c:pt idx="1">
                  <c:v>22.6</c:v>
                </c:pt>
                <c:pt idx="2">
                  <c:v>4.5999999999999996</c:v>
                </c:pt>
                <c:pt idx="3">
                  <c:v>2.9</c:v>
                </c:pt>
                <c:pt idx="4">
                  <c:v>14.7</c:v>
                </c:pt>
                <c:pt idx="5">
                  <c:v>3.4</c:v>
                </c:pt>
                <c:pt idx="6">
                  <c:v>38.200000000000003</c:v>
                </c:pt>
              </c:numCache>
            </c:numRef>
          </c:val>
        </c:ser>
        <c:ser>
          <c:idx val="2"/>
          <c:order val="2"/>
          <c:tx>
            <c:strRef>
              <c:f>ДИАГР9!$B$8</c:f>
              <c:strCache>
                <c:ptCount val="1"/>
                <c:pt idx="0">
                  <c:v>2017</c:v>
                </c:pt>
              </c:strCache>
            </c:strRef>
          </c:tx>
          <c:spPr>
            <a:gradFill rotWithShape="0">
              <a:gsLst>
                <a:gs pos="0">
                  <a:srgbClr val="FFFFCC"/>
                </a:gs>
                <a:gs pos="100000">
                  <a:srgbClr val="FFFFCC">
                    <a:gamma/>
                    <a:shade val="46275"/>
                    <a:invGamma/>
                  </a:srgbClr>
                </a:gs>
              </a:gsLst>
              <a:lin ang="5400000" scaled="1"/>
            </a:gradFill>
            <a:ln w="12700">
              <a:solidFill>
                <a:srgbClr val="000000"/>
              </a:solidFill>
              <a:prstDash val="solid"/>
            </a:ln>
          </c:spPr>
          <c:invertIfNegative val="0"/>
          <c:dLbls>
            <c:dLbl>
              <c:idx val="0"/>
              <c:layout>
                <c:manualLayout>
                  <c:x val="6.7574433061805958E-3"/>
                  <c:y val="4.9426638809333939E-3"/>
                </c:manualLayout>
              </c:layout>
              <c:dLblPos val="outEnd"/>
              <c:showLegendKey val="0"/>
              <c:showVal val="1"/>
              <c:showCatName val="0"/>
              <c:showSerName val="0"/>
              <c:showPercent val="0"/>
              <c:showBubbleSize val="0"/>
            </c:dLbl>
            <c:dLbl>
              <c:idx val="1"/>
              <c:layout>
                <c:manualLayout>
                  <c:x val="3.9674493187337725E-3"/>
                  <c:y val="0.14856592971234725"/>
                </c:manualLayout>
              </c:layout>
              <c:dLblPos val="outEnd"/>
              <c:showLegendKey val="0"/>
              <c:showVal val="1"/>
              <c:showCatName val="0"/>
              <c:showSerName val="0"/>
              <c:showPercent val="0"/>
              <c:showBubbleSize val="0"/>
            </c:dLbl>
            <c:dLbl>
              <c:idx val="3"/>
              <c:layout>
                <c:manualLayout>
                  <c:x val="-1.5425368990799127E-3"/>
                  <c:y val="-6.5942031843035298E-3"/>
                </c:manualLayout>
              </c:layout>
              <c:dLblPos val="outEnd"/>
              <c:showLegendKey val="0"/>
              <c:showVal val="1"/>
              <c:showCatName val="0"/>
              <c:showSerName val="0"/>
              <c:showPercent val="0"/>
              <c:showBubbleSize val="0"/>
            </c:dLbl>
            <c:dLbl>
              <c:idx val="4"/>
              <c:layout>
                <c:manualLayout>
                  <c:x val="8.1049740812613063E-4"/>
                  <c:y val="-3.8280017289187727E-3"/>
                </c:manualLayout>
              </c:layout>
              <c:dLblPos val="outEnd"/>
              <c:showLegendKey val="0"/>
              <c:showVal val="1"/>
              <c:showCatName val="0"/>
              <c:showSerName val="0"/>
              <c:showPercent val="0"/>
              <c:showBubbleSize val="0"/>
            </c:dLbl>
            <c:dLbl>
              <c:idx val="6"/>
              <c:layout>
                <c:manualLayout>
                  <c:x val="1.5334650096396759E-3"/>
                  <c:y val="0.26217608411907567"/>
                </c:manualLayout>
              </c:layout>
              <c:dLblPos val="outEnd"/>
              <c:showLegendKey val="0"/>
              <c:showVal val="1"/>
              <c:showCatName val="0"/>
              <c:showSerName val="0"/>
              <c:showPercent val="0"/>
              <c:showBubbleSize val="0"/>
            </c:dLbl>
            <c:spPr>
              <a:noFill/>
              <a:ln w="25400">
                <a:noFill/>
              </a:ln>
            </c:spPr>
            <c:txPr>
              <a:bodyPr rot="-5400000" vert="horz"/>
              <a:lstStyle/>
              <a:p>
                <a:pPr algn="ctr">
                  <a:defRPr sz="1000" b="1" i="0" u="none" strike="noStrike" baseline="0">
                    <a:solidFill>
                      <a:srgbClr val="00000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val>
            <c:numRef>
              <c:f>ДИАГР9!$C$8:$I$8</c:f>
              <c:numCache>
                <c:formatCode>0.0</c:formatCode>
                <c:ptCount val="7"/>
                <c:pt idx="0">
                  <c:v>2.6</c:v>
                </c:pt>
                <c:pt idx="1">
                  <c:v>18.3</c:v>
                </c:pt>
                <c:pt idx="2">
                  <c:v>4.8</c:v>
                </c:pt>
                <c:pt idx="3">
                  <c:v>3.2</c:v>
                </c:pt>
                <c:pt idx="4">
                  <c:v>14.8</c:v>
                </c:pt>
                <c:pt idx="5">
                  <c:v>3.7</c:v>
                </c:pt>
                <c:pt idx="6">
                  <c:v>45.7</c:v>
                </c:pt>
              </c:numCache>
            </c:numRef>
          </c:val>
        </c:ser>
        <c:dLbls>
          <c:showLegendKey val="0"/>
          <c:showVal val="0"/>
          <c:showCatName val="0"/>
          <c:showSerName val="0"/>
          <c:showPercent val="0"/>
          <c:showBubbleSize val="0"/>
        </c:dLbls>
        <c:gapWidth val="150"/>
        <c:axId val="293485568"/>
        <c:axId val="293495552"/>
      </c:barChart>
      <c:catAx>
        <c:axId val="293485568"/>
        <c:scaling>
          <c:orientation val="minMax"/>
        </c:scaling>
        <c:delete val="0"/>
        <c:axPos val="b"/>
        <c:numFmt formatCode="General" sourceLinked="1"/>
        <c:majorTickMark val="in"/>
        <c:minorTickMark val="out"/>
        <c:tickLblPos val="low"/>
        <c:spPr>
          <a:ln w="3175">
            <a:solidFill>
              <a:srgbClr val="000000"/>
            </a:solidFill>
            <a:prstDash val="solid"/>
          </a:ln>
        </c:spPr>
        <c:txPr>
          <a:bodyPr rot="-5400000" vert="horz"/>
          <a:lstStyle/>
          <a:p>
            <a:pPr>
              <a:defRPr sz="1000" b="1" i="0" u="none" strike="noStrike" baseline="0">
                <a:solidFill>
                  <a:sysClr val="windowText" lastClr="000000"/>
                </a:solidFill>
                <a:latin typeface="Calibri" panose="020F0502020204030204" pitchFamily="34" charset="0"/>
                <a:ea typeface="Arial Cyr"/>
                <a:cs typeface="Arial Cyr"/>
              </a:defRPr>
            </a:pPr>
            <a:endParaRPr lang="ru-RU"/>
          </a:p>
        </c:txPr>
        <c:crossAx val="293495552"/>
        <c:crosses val="autoZero"/>
        <c:auto val="1"/>
        <c:lblAlgn val="ctr"/>
        <c:lblOffset val="100"/>
        <c:tickLblSkip val="1"/>
        <c:tickMarkSkip val="1"/>
        <c:noMultiLvlLbl val="0"/>
      </c:catAx>
      <c:valAx>
        <c:axId val="293495552"/>
        <c:scaling>
          <c:orientation val="minMax"/>
        </c:scaling>
        <c:delete val="0"/>
        <c:axPos val="l"/>
        <c:numFmt formatCode="0.0" sourceLinked="1"/>
        <c:majorTickMark val="out"/>
        <c:minorTickMark val="none"/>
        <c:tickLblPos val="nextTo"/>
        <c:spPr>
          <a:ln w="3175">
            <a:solidFill>
              <a:srgbClr val="000000"/>
            </a:solidFill>
            <a:prstDash val="solid"/>
          </a:ln>
        </c:spPr>
        <c:txPr>
          <a:bodyPr rot="0" vert="horz"/>
          <a:lstStyle/>
          <a:p>
            <a:pPr>
              <a:defRPr sz="900" b="0" i="1" u="none" strike="noStrike" baseline="0">
                <a:solidFill>
                  <a:sysClr val="windowText" lastClr="000000"/>
                </a:solidFill>
                <a:latin typeface="Arial Cyr"/>
                <a:ea typeface="Arial Cyr"/>
                <a:cs typeface="Arial Cyr"/>
              </a:defRPr>
            </a:pPr>
            <a:endParaRPr lang="ru-RU"/>
          </a:p>
        </c:txPr>
        <c:crossAx val="293485568"/>
        <c:crosses val="autoZero"/>
        <c:crossBetween val="between"/>
      </c:valAx>
      <c:spPr>
        <a:gradFill rotWithShape="0">
          <a:gsLst>
            <a:gs pos="0">
              <a:srgbClr val="FFFF99"/>
            </a:gs>
            <a:gs pos="100000">
              <a:srgbClr val="FFFF99">
                <a:gamma/>
                <a:shade val="46275"/>
                <a:invGamma/>
              </a:srgbClr>
            </a:gs>
          </a:gsLst>
          <a:lin ang="5400000" scaled="1"/>
        </a:gradFill>
        <a:ln w="12700">
          <a:solidFill>
            <a:srgbClr val="808080"/>
          </a:solidFill>
          <a:prstDash val="solid"/>
        </a:ln>
      </c:spPr>
    </c:plotArea>
    <c:legend>
      <c:legendPos val="r"/>
      <c:layout>
        <c:manualLayout>
          <c:xMode val="edge"/>
          <c:yMode val="edge"/>
          <c:x val="5.7208237986270021E-3"/>
          <c:y val="0.52813213069178533"/>
          <c:w val="9.0389016018306637E-2"/>
          <c:h val="0.21243551452620146"/>
        </c:manualLayout>
      </c:layout>
      <c:overlay val="0"/>
      <c:spPr>
        <a:solidFill>
          <a:schemeClr val="accent3">
            <a:lumMod val="40000"/>
            <a:lumOff val="60000"/>
          </a:schemeClr>
        </a:solidFill>
        <a:ln w="3175">
          <a:solidFill>
            <a:srgbClr val="000000"/>
          </a:solidFill>
          <a:prstDash val="solid"/>
        </a:ln>
      </c:spPr>
      <c:txPr>
        <a:bodyPr/>
        <a:lstStyle/>
        <a:p>
          <a:pPr>
            <a:defRPr sz="900"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9BBB59">
        <a:lumMod val="40000"/>
        <a:lumOff val="60000"/>
      </a:srgbClr>
    </a:solidFill>
    <a:ln w="3175">
      <a:solidFill>
        <a:srgbClr val="000000"/>
      </a:solidFill>
      <a:prstDash val="solid"/>
    </a:ln>
  </c:spPr>
  <c:txPr>
    <a:bodyPr/>
    <a:lstStyle/>
    <a:p>
      <a:pPr>
        <a:defRPr sz="14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panose="02020603050405020304" pitchFamily="18" charset="0"/>
                <a:ea typeface="Arial Cyr"/>
                <a:cs typeface="Arial Cyr"/>
              </a:defRPr>
            </a:pPr>
            <a:r>
              <a:rPr lang="ru-RU" sz="1100" baseline="0">
                <a:latin typeface="Times New Roman" panose="02020603050405020304" pitchFamily="18" charset="0"/>
              </a:rPr>
              <a:t>Структура гражданских дел,рассмотренных мировыми судьями в 2017 г.</a:t>
            </a:r>
          </a:p>
        </c:rich>
      </c:tx>
      <c:layout>
        <c:manualLayout>
          <c:xMode val="edge"/>
          <c:yMode val="edge"/>
          <c:x val="0.12207559799063783"/>
          <c:y val="3.2162852560219599E-2"/>
        </c:manualLayout>
      </c:layout>
      <c:overlay val="0"/>
      <c:spPr>
        <a:noFill/>
        <a:ln w="25400">
          <a:noFill/>
        </a:ln>
      </c:spPr>
    </c:title>
    <c:autoTitleDeleted val="0"/>
    <c:view3D>
      <c:rotX val="15"/>
      <c:rotY val="37"/>
      <c:rAngAx val="0"/>
      <c:perspective val="0"/>
    </c:view3D>
    <c:floor>
      <c:thickness val="0"/>
    </c:floor>
    <c:sideWall>
      <c:thickness val="0"/>
    </c:sideWall>
    <c:backWall>
      <c:thickness val="0"/>
    </c:backWall>
    <c:plotArea>
      <c:layout>
        <c:manualLayout>
          <c:layoutTarget val="inner"/>
          <c:xMode val="edge"/>
          <c:yMode val="edge"/>
          <c:x val="0.35736878738385291"/>
          <c:y val="0.39992827899597355"/>
          <c:w val="0.40296166020490887"/>
          <c:h val="0.24364390035471678"/>
        </c:manualLayout>
      </c:layout>
      <c:pie3DChart>
        <c:varyColors val="1"/>
        <c:ser>
          <c:idx val="0"/>
          <c:order val="0"/>
          <c:spPr>
            <a:ln w="12700">
              <a:solidFill>
                <a:srgbClr val="000000"/>
              </a:solidFill>
              <a:prstDash val="solid"/>
            </a:ln>
          </c:spPr>
          <c:explosion val="52"/>
          <c:dPt>
            <c:idx val="0"/>
            <c:bubble3D val="0"/>
            <c:spPr>
              <a:solidFill>
                <a:srgbClr val="FFFF99"/>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3399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Lbls>
            <c:dLbl>
              <c:idx val="0"/>
              <c:layout>
                <c:manualLayout>
                  <c:x val="0.11632064850202152"/>
                  <c:y val="-8.6225420261203278E-2"/>
                </c:manualLayout>
              </c:layout>
              <c:dLblPos val="bestFit"/>
              <c:showLegendKey val="0"/>
              <c:showVal val="1"/>
              <c:showCatName val="1"/>
              <c:showSerName val="0"/>
              <c:showPercent val="0"/>
              <c:showBubbleSize val="0"/>
            </c:dLbl>
            <c:dLbl>
              <c:idx val="1"/>
              <c:layout>
                <c:manualLayout>
                  <c:x val="7.4251396298932321E-2"/>
                  <c:y val="4.3966625070783694E-2"/>
                </c:manualLayout>
              </c:layout>
              <c:dLblPos val="bestFit"/>
              <c:showLegendKey val="0"/>
              <c:showVal val="1"/>
              <c:showCatName val="1"/>
              <c:showSerName val="0"/>
              <c:showPercent val="0"/>
              <c:showBubbleSize val="0"/>
            </c:dLbl>
            <c:dLbl>
              <c:idx val="2"/>
              <c:layout>
                <c:manualLayout>
                  <c:x val="-0.15820646336847369"/>
                  <c:y val="0.26512866848942135"/>
                </c:manualLayout>
              </c:layout>
              <c:dLblPos val="bestFit"/>
              <c:showLegendKey val="0"/>
              <c:showVal val="1"/>
              <c:showCatName val="1"/>
              <c:showSerName val="0"/>
              <c:showPercent val="0"/>
              <c:showBubbleSize val="0"/>
            </c:dLbl>
            <c:dLbl>
              <c:idx val="3"/>
              <c:layout>
                <c:manualLayout>
                  <c:x val="6.8850154139654202E-2"/>
                  <c:y val="0.16671852763933573"/>
                </c:manualLayout>
              </c:layout>
              <c:tx>
                <c:rich>
                  <a:bodyPr/>
                  <a:lstStyle/>
                  <a:p>
                    <a:r>
                      <a:rPr lang="ru-RU"/>
                      <a:t>Взыскание сумм по договору займа,кредитные договора; 124333</a:t>
                    </a:r>
                  </a:p>
                </c:rich>
              </c:tx>
              <c:dLblPos val="bestFit"/>
              <c:showLegendKey val="0"/>
              <c:showVal val="1"/>
              <c:showCatName val="1"/>
              <c:showSerName val="0"/>
              <c:showPercent val="0"/>
              <c:showBubbleSize val="0"/>
            </c:dLbl>
            <c:dLbl>
              <c:idx val="4"/>
              <c:layout>
                <c:manualLayout>
                  <c:x val="-0.21942540029437338"/>
                  <c:y val="0.19434228484743771"/>
                </c:manualLayout>
              </c:layout>
              <c:tx>
                <c:rich>
                  <a:bodyPr/>
                  <a:lstStyle/>
                  <a:p>
                    <a:r>
                      <a:rPr lang="ru-RU"/>
                      <a:t>Защита прав потребителей; 4669</a:t>
                    </a:r>
                  </a:p>
                </c:rich>
              </c:tx>
              <c:dLblPos val="bestFit"/>
              <c:showLegendKey val="0"/>
              <c:showVal val="1"/>
              <c:showCatName val="1"/>
              <c:showSerName val="0"/>
              <c:showPercent val="0"/>
              <c:showBubbleSize val="0"/>
            </c:dLbl>
            <c:dLbl>
              <c:idx val="5"/>
              <c:layout>
                <c:manualLayout>
                  <c:x val="-0.25077049040958477"/>
                  <c:y val="-1.695105227869291E-2"/>
                </c:manualLayout>
              </c:layout>
              <c:dLblPos val="bestFit"/>
              <c:showLegendKey val="0"/>
              <c:showVal val="1"/>
              <c:showCatName val="1"/>
              <c:showSerName val="0"/>
              <c:showPercent val="0"/>
              <c:showBubbleSize val="0"/>
            </c:dLbl>
            <c:dLbl>
              <c:idx val="6"/>
              <c:layout>
                <c:manualLayout>
                  <c:x val="-5.3152249985813457E-2"/>
                  <c:y val="-8.8992215189181947E-2"/>
                </c:manualLayout>
              </c:layout>
              <c:tx>
                <c:rich>
                  <a:bodyPr/>
                  <a:lstStyle/>
                  <a:p>
                    <a:r>
                      <a:rPr lang="ru-RU"/>
                      <a:t>Взыскание страхового возмещения; 4723</a:t>
                    </a:r>
                  </a:p>
                </c:rich>
              </c:tx>
              <c:dLblPos val="bestFit"/>
              <c:showLegendKey val="0"/>
              <c:showVal val="1"/>
              <c:showCatName val="1"/>
              <c:showSerName val="0"/>
              <c:showPercent val="0"/>
              <c:showBubbleSize val="0"/>
            </c:dLbl>
            <c:dLbl>
              <c:idx val="7"/>
              <c:layout>
                <c:manualLayout>
                  <c:xMode val="edge"/>
                  <c:yMode val="edge"/>
                  <c:x val="0.14360596189740382"/>
                  <c:y val="0.26442333556281417"/>
                </c:manualLayout>
              </c:layout>
              <c:dLblPos val="bestFit"/>
              <c:showLegendKey val="0"/>
              <c:showVal val="1"/>
              <c:showCatName val="1"/>
              <c:showSerName val="0"/>
              <c:showPercent val="0"/>
              <c:showBubbleSize val="0"/>
            </c:dLbl>
            <c:spPr>
              <a:noFill/>
              <a:ln w="25400">
                <a:noFill/>
              </a:ln>
            </c:spPr>
            <c:txPr>
              <a:bodyPr/>
              <a:lstStyle/>
              <a:p>
                <a:pPr>
                  <a:defRPr sz="1000" b="1" i="0" u="none" strike="noStrike" baseline="0">
                    <a:solidFill>
                      <a:srgbClr val="000000"/>
                    </a:solidFill>
                    <a:latin typeface="Calibri" panose="020F0502020204030204" pitchFamily="34" charset="0"/>
                    <a:ea typeface="Arial Cyr"/>
                    <a:cs typeface="Arial Cyr"/>
                  </a:defRPr>
                </a:pPr>
                <a:endParaRPr lang="ru-RU"/>
              </a:p>
            </c:txPr>
            <c:showLegendKey val="0"/>
            <c:showVal val="1"/>
            <c:showCatName val="1"/>
            <c:showSerName val="0"/>
            <c:showPercent val="0"/>
            <c:showBubbleSize val="0"/>
            <c:showLeaderLines val="1"/>
          </c:dLbls>
          <c:cat>
            <c:strRef>
              <c:f>Диагр11!$A$3:$A$9</c:f>
              <c:strCache>
                <c:ptCount val="7"/>
                <c:pt idx="0">
                  <c:v>Споры,вытекающие из жиличного законодательства</c:v>
                </c:pt>
                <c:pt idx="1">
                  <c:v>Брачно-семейные споры</c:v>
                </c:pt>
                <c:pt idx="2">
                  <c:v>Споры, возникающие из трудовых правоотношений</c:v>
                </c:pt>
                <c:pt idx="3">
                  <c:v>Иски о взыскании сумм по договору займа,кредитные договора</c:v>
                </c:pt>
                <c:pt idx="4">
                  <c:v>Иски о защите прав потребителей</c:v>
                </c:pt>
                <c:pt idx="5">
                  <c:v>Прочие исковые дела</c:v>
                </c:pt>
                <c:pt idx="6">
                  <c:v>О взыскании страхового возмещения</c:v>
                </c:pt>
              </c:strCache>
            </c:strRef>
          </c:cat>
          <c:val>
            <c:numRef>
              <c:f>Диагр11!$B$3:$B$9</c:f>
              <c:numCache>
                <c:formatCode>General</c:formatCode>
                <c:ptCount val="7"/>
                <c:pt idx="0">
                  <c:v>36418</c:v>
                </c:pt>
                <c:pt idx="1">
                  <c:v>23475</c:v>
                </c:pt>
                <c:pt idx="2">
                  <c:v>6245</c:v>
                </c:pt>
                <c:pt idx="3">
                  <c:v>124333</c:v>
                </c:pt>
                <c:pt idx="4">
                  <c:v>4669</c:v>
                </c:pt>
                <c:pt idx="5">
                  <c:v>32552</c:v>
                </c:pt>
                <c:pt idx="6">
                  <c:v>4723</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rotWithShape="0">
      <a:gsLst>
        <a:gs pos="0">
          <a:srgbClr val="FFFF99"/>
        </a:gs>
        <a:gs pos="100000">
          <a:srgbClr val="FFFF99">
            <a:gamma/>
            <a:shade val="46275"/>
            <a:invGamma/>
          </a:srgbClr>
        </a:gs>
      </a:gsLst>
      <a:lin ang="5400000" scaled="1"/>
    </a:gradFill>
    <a:ln w="3175">
      <a:solidFill>
        <a:srgbClr val="000000"/>
      </a:solidFill>
      <a:prstDash val="solid"/>
    </a:ln>
  </c:spPr>
  <c:txPr>
    <a:bodyPr/>
    <a:lstStyle/>
    <a:p>
      <a:pPr>
        <a:defRPr sz="1150"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panose="02020603050405020304" pitchFamily="18" charset="0"/>
                <a:ea typeface="Arial Cyr"/>
                <a:cs typeface="Arial Cyr"/>
              </a:defRPr>
            </a:pPr>
            <a:r>
              <a:rPr lang="ru-RU" sz="1100" baseline="0">
                <a:latin typeface="Times New Roman" panose="02020603050405020304" pitchFamily="18" charset="0"/>
              </a:rPr>
              <a:t>Структура дел об  административных правонарушений, рассмотренных мировыми судьями   в 2017 г</a:t>
            </a:r>
          </a:p>
        </c:rich>
      </c:tx>
      <c:layout>
        <c:manualLayout>
          <c:xMode val="edge"/>
          <c:yMode val="edge"/>
          <c:x val="0.12140524630952923"/>
          <c:y val="2.823732311737513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5110151062932079"/>
          <c:y val="0.38862619197119369"/>
          <c:w val="0.45286377706481012"/>
          <c:h val="0.32227537870781914"/>
        </c:manualLayout>
      </c:layout>
      <c:pie3DChart>
        <c:varyColors val="1"/>
        <c:ser>
          <c:idx val="0"/>
          <c:order val="0"/>
          <c:spPr>
            <a:solidFill>
              <a:srgbClr val="9999FF"/>
            </a:solidFill>
            <a:ln w="12700">
              <a:solidFill>
                <a:srgbClr val="000000"/>
              </a:solidFill>
              <a:prstDash val="solid"/>
            </a:ln>
          </c:spPr>
          <c:explosion val="27"/>
          <c:dPt>
            <c:idx val="0"/>
            <c:bubble3D val="0"/>
            <c:spPr>
              <a:solidFill>
                <a:srgbClr val="FFFF99"/>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3399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dPt>
          <c:dLbls>
            <c:dLbl>
              <c:idx val="0"/>
              <c:layout>
                <c:manualLayout>
                  <c:x val="-7.0198139435135171E-2"/>
                  <c:y val="-5.31636399413472E-2"/>
                </c:manualLayout>
              </c:layout>
              <c:dLblPos val="bestFit"/>
              <c:showLegendKey val="0"/>
              <c:showVal val="1"/>
              <c:showCatName val="1"/>
              <c:showSerName val="0"/>
              <c:showPercent val="0"/>
              <c:showBubbleSize val="0"/>
            </c:dLbl>
            <c:dLbl>
              <c:idx val="1"/>
              <c:layout>
                <c:manualLayout>
                  <c:x val="8.8683563800516299E-2"/>
                  <c:y val="-0.19877615453361611"/>
                </c:manualLayout>
              </c:layout>
              <c:dLblPos val="bestFit"/>
              <c:showLegendKey val="0"/>
              <c:showVal val="1"/>
              <c:showCatName val="1"/>
              <c:showSerName val="0"/>
              <c:showPercent val="0"/>
              <c:showBubbleSize val="0"/>
            </c:dLbl>
            <c:dLbl>
              <c:idx val="2"/>
              <c:layout>
                <c:manualLayout>
                  <c:x val="8.4938793536369503E-2"/>
                  <c:y val="-0.12130947582443873"/>
                </c:manualLayout>
              </c:layout>
              <c:dLblPos val="bestFit"/>
              <c:showLegendKey val="0"/>
              <c:showVal val="1"/>
              <c:showCatName val="1"/>
              <c:showSerName val="0"/>
              <c:showPercent val="0"/>
              <c:showBubbleSize val="0"/>
            </c:dLbl>
            <c:dLbl>
              <c:idx val="3"/>
              <c:layout>
                <c:manualLayout>
                  <c:x val="0.1951100719091359"/>
                  <c:y val="0.13755233451632637"/>
                </c:manualLayout>
              </c:layout>
              <c:dLblPos val="bestFit"/>
              <c:showLegendKey val="0"/>
              <c:showVal val="1"/>
              <c:showCatName val="1"/>
              <c:showSerName val="0"/>
              <c:showPercent val="0"/>
              <c:showBubbleSize val="0"/>
            </c:dLbl>
            <c:dLbl>
              <c:idx val="4"/>
              <c:layout>
                <c:manualLayout>
                  <c:x val="-8.906934319921965E-2"/>
                  <c:y val="0.10454622810294552"/>
                </c:manualLayout>
              </c:layout>
              <c:tx>
                <c:rich>
                  <a:bodyPr/>
                  <a:lstStyle/>
                  <a:p>
                    <a:r>
                      <a:rPr lang="ru-RU" sz="1000" baseline="0">
                        <a:latin typeface="Calibri" panose="020F0502020204030204" pitchFamily="34" charset="0"/>
                      </a:rPr>
                      <a:t>Невыполнение обязанностей, устанавл-ых при админ-ом надзоре ; 13652</a:t>
                    </a:r>
                    <a:endParaRPr lang="ru-RU"/>
                  </a:p>
                </c:rich>
              </c:tx>
              <c:dLblPos val="bestFit"/>
              <c:showLegendKey val="0"/>
              <c:showVal val="1"/>
              <c:showCatName val="1"/>
              <c:showSerName val="0"/>
              <c:showPercent val="0"/>
              <c:showBubbleSize val="0"/>
            </c:dLbl>
            <c:dLbl>
              <c:idx val="5"/>
              <c:layout>
                <c:manualLayout>
                  <c:x val="-0.30493667601499691"/>
                  <c:y val="0.20444051602502628"/>
                </c:manualLayout>
              </c:layout>
              <c:dLblPos val="bestFit"/>
              <c:showLegendKey val="0"/>
              <c:showVal val="1"/>
              <c:showCatName val="1"/>
              <c:showSerName val="0"/>
              <c:showPercent val="0"/>
              <c:showBubbleSize val="0"/>
            </c:dLbl>
            <c:dLbl>
              <c:idx val="6"/>
              <c:layout>
                <c:manualLayout>
                  <c:x val="-0.19516886844595707"/>
                  <c:y val="3.2835486157074642E-2"/>
                </c:manualLayout>
              </c:layout>
              <c:dLblPos val="bestFit"/>
              <c:showLegendKey val="0"/>
              <c:showVal val="1"/>
              <c:showCatName val="1"/>
              <c:showSerName val="0"/>
              <c:showPercent val="0"/>
              <c:showBubbleSize val="0"/>
            </c:dLbl>
            <c:dLbl>
              <c:idx val="7"/>
              <c:layout>
                <c:manualLayout>
                  <c:x val="-3.4179937600858253E-2"/>
                  <c:y val="3.2252928605108297E-2"/>
                </c:manualLayout>
              </c:layout>
              <c:dLblPos val="bestFit"/>
              <c:showLegendKey val="0"/>
              <c:showVal val="1"/>
              <c:showCatName val="1"/>
              <c:showSerName val="0"/>
              <c:showPercent val="0"/>
              <c:showBubbleSize val="0"/>
            </c:dLbl>
            <c:dLbl>
              <c:idx val="8"/>
              <c:layout>
                <c:manualLayout>
                  <c:x val="-0.24519046485278001"/>
                  <c:y val="-1.2635479842414912E-2"/>
                </c:manualLayout>
              </c:layout>
              <c:dLblPos val="bestFit"/>
              <c:showLegendKey val="0"/>
              <c:showVal val="1"/>
              <c:showCatName val="1"/>
              <c:showSerName val="0"/>
              <c:showPercent val="0"/>
              <c:showBubbleSize val="0"/>
            </c:dLbl>
            <c:spPr>
              <a:noFill/>
              <a:ln w="25400">
                <a:noFill/>
              </a:ln>
            </c:spPr>
            <c:txPr>
              <a:bodyPr/>
              <a:lstStyle/>
              <a:p>
                <a:pPr>
                  <a:defRPr sz="1000" b="1" i="0" u="none" strike="noStrike" baseline="0">
                    <a:solidFill>
                      <a:srgbClr val="000000"/>
                    </a:solidFill>
                    <a:latin typeface="Calibri" panose="020F0502020204030204" pitchFamily="34" charset="0"/>
                    <a:ea typeface="Arial Cyr"/>
                    <a:cs typeface="Arial Cyr"/>
                  </a:defRPr>
                </a:pPr>
                <a:endParaRPr lang="ru-RU"/>
              </a:p>
            </c:txPr>
            <c:showLegendKey val="0"/>
            <c:showVal val="1"/>
            <c:showCatName val="1"/>
            <c:showSerName val="0"/>
            <c:showPercent val="0"/>
            <c:showBubbleSize val="0"/>
            <c:showLeaderLines val="1"/>
          </c:dLbls>
          <c:cat>
            <c:strRef>
              <c:f>Диагр12!$A$3:$A$11</c:f>
              <c:strCache>
                <c:ptCount val="9"/>
                <c:pt idx="0">
                  <c:v>Правонаруш-я, предусмотренные  нормат-ми актами субъектов РФ</c:v>
                </c:pt>
                <c:pt idx="1">
                  <c:v>Правонарушения в области дорожного движения</c:v>
                </c:pt>
                <c:pt idx="2">
                  <c:v>Появление в общественных местах в состоянии опьянения</c:v>
                </c:pt>
                <c:pt idx="3">
                  <c:v>Незаконные действия с наркотиками</c:v>
                </c:pt>
                <c:pt idx="4">
                  <c:v>Несоблюдение админ-ых ограничений и невыполнение обязанностей, устанавливаемых при админ-ом надзоре </c:v>
                </c:pt>
                <c:pt idx="5">
                  <c:v>Мелкое хищение</c:v>
                </c:pt>
                <c:pt idx="6">
                  <c:v>Нарушения сроков представления налоговой декларации</c:v>
                </c:pt>
                <c:pt idx="7">
                  <c:v>Неуплата административного штрафа</c:v>
                </c:pt>
                <c:pt idx="8">
                  <c:v>Невыполнение в срок законного предписания органа (должн-го лица) </c:v>
                </c:pt>
              </c:strCache>
            </c:strRef>
          </c:cat>
          <c:val>
            <c:numRef>
              <c:f>Диагр12!$B$3:$B$11</c:f>
              <c:numCache>
                <c:formatCode>General</c:formatCode>
                <c:ptCount val="9"/>
                <c:pt idx="0">
                  <c:v>5590</c:v>
                </c:pt>
                <c:pt idx="1">
                  <c:v>31027</c:v>
                </c:pt>
                <c:pt idx="2">
                  <c:v>17217</c:v>
                </c:pt>
                <c:pt idx="3">
                  <c:v>7816</c:v>
                </c:pt>
                <c:pt idx="4">
                  <c:v>13652</c:v>
                </c:pt>
                <c:pt idx="5">
                  <c:v>11109</c:v>
                </c:pt>
                <c:pt idx="6">
                  <c:v>15085</c:v>
                </c:pt>
                <c:pt idx="7">
                  <c:v>53573</c:v>
                </c:pt>
                <c:pt idx="8">
                  <c:v>6143</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rotWithShape="0">
      <a:gsLst>
        <a:gs pos="0">
          <a:srgbClr val="FFFF99"/>
        </a:gs>
        <a:gs pos="100000">
          <a:srgbClr val="FFFF99">
            <a:gamma/>
            <a:shade val="46275"/>
            <a:invGamma/>
          </a:srgbClr>
        </a:gs>
      </a:gsLst>
      <a:lin ang="5400000" scaled="1"/>
    </a:gra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3300"/>
                </a:solidFill>
                <a:latin typeface="Times New Roman" panose="02020603050405020304" pitchFamily="18" charset="0"/>
                <a:ea typeface="Arial Cyr"/>
                <a:cs typeface="Arial Cyr"/>
              </a:defRPr>
            </a:pPr>
            <a:r>
              <a:rPr lang="ru-RU" sz="1100" baseline="0">
                <a:latin typeface="Times New Roman" panose="02020603050405020304" pitchFamily="18" charset="0"/>
              </a:rPr>
              <a:t>Структура основных мер административного наказания
назначенных мировыми судьями РТ в 2015-2017гг.</a:t>
            </a:r>
          </a:p>
        </c:rich>
      </c:tx>
      <c:layout>
        <c:manualLayout>
          <c:xMode val="edge"/>
          <c:yMode val="edge"/>
          <c:x val="0.2313972906722494"/>
          <c:y val="3.7320449675318806E-2"/>
        </c:manualLayout>
      </c:layout>
      <c:overlay val="0"/>
      <c:spPr>
        <a:noFill/>
        <a:ln w="25400">
          <a:noFill/>
        </a:ln>
      </c:spPr>
    </c:title>
    <c:autoTitleDeleted val="0"/>
    <c:plotArea>
      <c:layout>
        <c:manualLayout>
          <c:layoutTarget val="inner"/>
          <c:xMode val="edge"/>
          <c:yMode val="edge"/>
          <c:x val="5.355394542704061E-2"/>
          <c:y val="2.0502433753834926E-2"/>
          <c:w val="0.93224318682066754"/>
          <c:h val="0.47880767928760765"/>
        </c:manualLayout>
      </c:layout>
      <c:barChart>
        <c:barDir val="col"/>
        <c:grouping val="clustered"/>
        <c:varyColors val="0"/>
        <c:ser>
          <c:idx val="0"/>
          <c:order val="0"/>
          <c:tx>
            <c:strRef>
              <c:f>ДИАГР10!$B$8</c:f>
              <c:strCache>
                <c:ptCount val="1"/>
                <c:pt idx="0">
                  <c:v>Доли 2015 г</c:v>
                </c:pt>
              </c:strCache>
            </c:strRef>
          </c:tx>
          <c:spPr>
            <a:gradFill rotWithShape="0">
              <a:gsLst>
                <a:gs pos="0">
                  <a:srgbClr val="993366">
                    <a:gamma/>
                    <a:shade val="46275"/>
                    <a:invGamma/>
                  </a:srgbClr>
                </a:gs>
                <a:gs pos="100000">
                  <a:srgbClr val="993366"/>
                </a:gs>
              </a:gsLst>
              <a:lin ang="0" scaled="1"/>
            </a:gradFill>
            <a:ln w="12700">
              <a:solidFill>
                <a:srgbClr val="000000"/>
              </a:solidFill>
              <a:prstDash val="solid"/>
            </a:ln>
          </c:spPr>
          <c:invertIfNegative val="0"/>
          <c:dLbls>
            <c:dLbl>
              <c:idx val="0"/>
              <c:layout>
                <c:manualLayout>
                  <c:x val="-4.5346771120608419E-4"/>
                  <c:y val="0.2641369147079406"/>
                </c:manualLayout>
              </c:layout>
              <c:dLblPos val="outEnd"/>
              <c:showLegendKey val="0"/>
              <c:showVal val="1"/>
              <c:showCatName val="0"/>
              <c:showSerName val="0"/>
              <c:showPercent val="0"/>
              <c:showBubbleSize val="0"/>
            </c:dLbl>
            <c:dLbl>
              <c:idx val="1"/>
              <c:layout>
                <c:manualLayout>
                  <c:x val="2.3793421630274483E-3"/>
                  <c:y val="0.17902949687154399"/>
                </c:manualLayout>
              </c:layout>
              <c:dLblPos val="outEnd"/>
              <c:showLegendKey val="0"/>
              <c:showVal val="1"/>
              <c:showCatName val="0"/>
              <c:showSerName val="0"/>
              <c:showPercent val="0"/>
              <c:showBubbleSize val="0"/>
            </c:dLbl>
            <c:dLbl>
              <c:idx val="2"/>
              <c:layout>
                <c:manualLayout>
                  <c:x val="3.5224543925680453E-3"/>
                  <c:y val="-2.486182594958937E-2"/>
                </c:manualLayout>
              </c:layout>
              <c:dLblPos val="outEnd"/>
              <c:showLegendKey val="0"/>
              <c:showVal val="1"/>
              <c:showCatName val="0"/>
              <c:showSerName val="0"/>
              <c:showPercent val="0"/>
              <c:showBubbleSize val="0"/>
            </c:dLbl>
            <c:dLbl>
              <c:idx val="3"/>
              <c:layout>
                <c:manualLayout>
                  <c:x val="-3.9134974018935889E-3"/>
                  <c:y val="-4.2990779998654015E-3"/>
                </c:manualLayout>
              </c:layout>
              <c:dLblPos val="outEnd"/>
              <c:showLegendKey val="0"/>
              <c:showVal val="1"/>
              <c:showCatName val="0"/>
              <c:showSerName val="0"/>
              <c:showPercent val="0"/>
              <c:showBubbleSize val="0"/>
            </c:dLbl>
            <c:dLbl>
              <c:idx val="4"/>
              <c:layout>
                <c:manualLayout>
                  <c:x val="-4.2466249673031881E-3"/>
                  <c:y val="5.3928164643694812E-3"/>
                </c:manualLayout>
              </c:layout>
              <c:dLblPos val="outEnd"/>
              <c:showLegendKey val="0"/>
              <c:showVal val="1"/>
              <c:showCatName val="0"/>
              <c:showSerName val="0"/>
              <c:showPercent val="0"/>
              <c:showBubbleSize val="0"/>
            </c:dLbl>
            <c:spPr>
              <a:noFill/>
              <a:ln w="25400">
                <a:noFill/>
              </a:ln>
            </c:spPr>
            <c:txPr>
              <a:bodyPr rot="-5400000" vert="horz"/>
              <a:lstStyle/>
              <a:p>
                <a:pPr algn="ctr">
                  <a:defRPr sz="925" b="1" i="0" u="none" strike="noStrike" baseline="0">
                    <a:solidFill>
                      <a:srgbClr val="FFFF00"/>
                    </a:solidFill>
                    <a:latin typeface="Calibri" panose="020F0502020204030204" pitchFamily="34" charset="0"/>
                    <a:ea typeface="Arial Cyr"/>
                    <a:cs typeface="Arial Cyr"/>
                  </a:defRPr>
                </a:pPr>
                <a:endParaRPr lang="ru-RU"/>
              </a:p>
            </c:txPr>
            <c:dLblPos val="outEnd"/>
            <c:showLegendKey val="0"/>
            <c:showVal val="1"/>
            <c:showCatName val="0"/>
            <c:showSerName val="0"/>
            <c:showPercent val="0"/>
            <c:showBubbleSize val="0"/>
            <c:showLeaderLines val="0"/>
          </c:dLbls>
          <c:cat>
            <c:strRef>
              <c:f>ДИАГР10!$C$7:$I$7</c:f>
              <c:strCache>
                <c:ptCount val="7"/>
                <c:pt idx="0">
                  <c:v>Штраф</c:v>
                </c:pt>
                <c:pt idx="1">
                  <c:v>Администр-ый арест</c:v>
                </c:pt>
                <c:pt idx="2">
                  <c:v>Лишение специального права</c:v>
                </c:pt>
                <c:pt idx="3">
                  <c:v>Дисквалиф-ия</c:v>
                </c:pt>
                <c:pt idx="4">
                  <c:v>Предупреж-ие (письменное)</c:v>
                </c:pt>
                <c:pt idx="5">
                  <c:v>Обязательные работы</c:v>
                </c:pt>
                <c:pt idx="6">
                  <c:v>конфискация</c:v>
                </c:pt>
              </c:strCache>
            </c:strRef>
          </c:cat>
          <c:val>
            <c:numRef>
              <c:f>ДИАГР10!$C$8:$I$8</c:f>
              <c:numCache>
                <c:formatCode>0.0</c:formatCode>
                <c:ptCount val="7"/>
                <c:pt idx="0">
                  <c:v>59.9</c:v>
                </c:pt>
                <c:pt idx="1">
                  <c:v>33.299999999999997</c:v>
                </c:pt>
                <c:pt idx="2">
                  <c:v>2.4</c:v>
                </c:pt>
                <c:pt idx="3">
                  <c:v>0.05</c:v>
                </c:pt>
                <c:pt idx="4">
                  <c:v>2.5</c:v>
                </c:pt>
                <c:pt idx="5">
                  <c:v>1.5</c:v>
                </c:pt>
                <c:pt idx="6">
                  <c:v>0</c:v>
                </c:pt>
              </c:numCache>
            </c:numRef>
          </c:val>
        </c:ser>
        <c:ser>
          <c:idx val="1"/>
          <c:order val="1"/>
          <c:tx>
            <c:strRef>
              <c:f>ДИАГР10!$B$9</c:f>
              <c:strCache>
                <c:ptCount val="1"/>
                <c:pt idx="0">
                  <c:v>Доли 2016 г</c:v>
                </c:pt>
              </c:strCache>
            </c:strRef>
          </c:tx>
          <c:spPr>
            <a:gradFill rotWithShape="0">
              <a:gsLst>
                <a:gs pos="0">
                  <a:srgbClr val="000080"/>
                </a:gs>
                <a:gs pos="100000">
                  <a:srgbClr val="99CCFF"/>
                </a:gs>
              </a:gsLst>
              <a:lin ang="0" scaled="1"/>
            </a:gradFill>
            <a:ln w="12700">
              <a:solidFill>
                <a:srgbClr val="000000"/>
              </a:solidFill>
              <a:prstDash val="solid"/>
            </a:ln>
          </c:spPr>
          <c:invertIfNegative val="0"/>
          <c:dLbls>
            <c:dLbl>
              <c:idx val="0"/>
              <c:layout>
                <c:manualLayout>
                  <c:x val="2.8799598379294286E-3"/>
                  <c:y val="0.26403142806302138"/>
                </c:manualLayout>
              </c:layout>
              <c:dLblPos val="outEnd"/>
              <c:showLegendKey val="0"/>
              <c:showVal val="1"/>
              <c:showCatName val="0"/>
              <c:showSerName val="0"/>
              <c:showPercent val="0"/>
              <c:showBubbleSize val="0"/>
            </c:dLbl>
            <c:dLbl>
              <c:idx val="1"/>
              <c:layout>
                <c:manualLayout>
                  <c:x val="7.7521808729547111E-3"/>
                  <c:y val="0.18200824430466742"/>
                </c:manualLayout>
              </c:layout>
              <c:dLblPos val="outEnd"/>
              <c:showLegendKey val="0"/>
              <c:showVal val="1"/>
              <c:showCatName val="0"/>
              <c:showSerName val="0"/>
              <c:showPercent val="0"/>
              <c:showBubbleSize val="0"/>
            </c:dLbl>
            <c:dLbl>
              <c:idx val="2"/>
              <c:layout>
                <c:manualLayout>
                  <c:x val="-9.8310468154977435E-4"/>
                  <c:y val="-2.3339666911452391E-2"/>
                </c:manualLayout>
              </c:layout>
              <c:dLblPos val="outEnd"/>
              <c:showLegendKey val="0"/>
              <c:showVal val="1"/>
              <c:showCatName val="0"/>
              <c:showSerName val="0"/>
              <c:showPercent val="0"/>
              <c:showBubbleSize val="0"/>
            </c:dLbl>
            <c:dLbl>
              <c:idx val="3"/>
              <c:layout>
                <c:manualLayout>
                  <c:x val="3.1709915309169352E-3"/>
                  <c:y val="-2.9533167328442919E-3"/>
                </c:manualLayout>
              </c:layout>
              <c:dLblPos val="outEnd"/>
              <c:showLegendKey val="0"/>
              <c:showVal val="1"/>
              <c:showCatName val="0"/>
              <c:showSerName val="0"/>
              <c:showPercent val="0"/>
              <c:showBubbleSize val="0"/>
            </c:dLbl>
            <c:dLbl>
              <c:idx val="4"/>
              <c:layout>
                <c:manualLayout>
                  <c:x val="-2.2315024387133797E-3"/>
                  <c:y val="-1.1298651771092716E-2"/>
                </c:manualLayout>
              </c:layout>
              <c:dLblPos val="outEnd"/>
              <c:showLegendKey val="0"/>
              <c:showVal val="1"/>
              <c:showCatName val="0"/>
              <c:showSerName val="0"/>
              <c:showPercent val="0"/>
              <c:showBubbleSize val="0"/>
            </c:dLbl>
            <c:spPr>
              <a:noFill/>
              <a:ln w="25400">
                <a:noFill/>
              </a:ln>
            </c:spPr>
            <c:txPr>
              <a:bodyPr rot="-5400000" vert="horz"/>
              <a:lstStyle/>
              <a:p>
                <a:pPr algn="ctr">
                  <a:defRPr sz="925" b="1" i="0" u="none" strike="noStrike" baseline="0">
                    <a:solidFill>
                      <a:srgbClr val="000000"/>
                    </a:solidFill>
                    <a:latin typeface="Calibri" panose="020F0502020204030204" pitchFamily="34" charset="0"/>
                    <a:ea typeface="Arial Cyr"/>
                    <a:cs typeface="Arial Cyr"/>
                  </a:defRPr>
                </a:pPr>
                <a:endParaRPr lang="ru-RU"/>
              </a:p>
            </c:txPr>
            <c:dLblPos val="outEnd"/>
            <c:showLegendKey val="0"/>
            <c:showVal val="1"/>
            <c:showCatName val="0"/>
            <c:showSerName val="0"/>
            <c:showPercent val="0"/>
            <c:showBubbleSize val="0"/>
            <c:showLeaderLines val="0"/>
          </c:dLbls>
          <c:cat>
            <c:strRef>
              <c:f>ДИАГР10!$C$7:$I$7</c:f>
              <c:strCache>
                <c:ptCount val="7"/>
                <c:pt idx="0">
                  <c:v>Штраф</c:v>
                </c:pt>
                <c:pt idx="1">
                  <c:v>Администр-ый арест</c:v>
                </c:pt>
                <c:pt idx="2">
                  <c:v>Лишение специального права</c:v>
                </c:pt>
                <c:pt idx="3">
                  <c:v>Дисквалиф-ия</c:v>
                </c:pt>
                <c:pt idx="4">
                  <c:v>Предупреж-ие (письменное)</c:v>
                </c:pt>
                <c:pt idx="5">
                  <c:v>Обязательные работы</c:v>
                </c:pt>
                <c:pt idx="6">
                  <c:v>конфискация</c:v>
                </c:pt>
              </c:strCache>
            </c:strRef>
          </c:cat>
          <c:val>
            <c:numRef>
              <c:f>ДИАГР10!$C$9:$I$9</c:f>
              <c:numCache>
                <c:formatCode>0.0</c:formatCode>
                <c:ptCount val="7"/>
                <c:pt idx="0">
                  <c:v>58.7</c:v>
                </c:pt>
                <c:pt idx="1">
                  <c:v>34.200000000000003</c:v>
                </c:pt>
                <c:pt idx="2">
                  <c:v>1.8</c:v>
                </c:pt>
                <c:pt idx="3">
                  <c:v>0.05</c:v>
                </c:pt>
                <c:pt idx="4">
                  <c:v>2.7</c:v>
                </c:pt>
                <c:pt idx="5">
                  <c:v>2.2999999999999998</c:v>
                </c:pt>
                <c:pt idx="6">
                  <c:v>0</c:v>
                </c:pt>
              </c:numCache>
            </c:numRef>
          </c:val>
        </c:ser>
        <c:ser>
          <c:idx val="2"/>
          <c:order val="2"/>
          <c:tx>
            <c:strRef>
              <c:f>ДИАГР10!$B$10</c:f>
              <c:strCache>
                <c:ptCount val="1"/>
                <c:pt idx="0">
                  <c:v>Доли 2017 г</c:v>
                </c:pt>
              </c:strCache>
            </c:strRef>
          </c:tx>
          <c:spPr>
            <a:gradFill rotWithShape="0">
              <a:gsLst>
                <a:gs pos="0">
                  <a:srgbClr val="FFFFCC">
                    <a:gamma/>
                    <a:shade val="46275"/>
                    <a:invGamma/>
                  </a:srgbClr>
                </a:gs>
                <a:gs pos="100000">
                  <a:srgbClr val="FFFFCC"/>
                </a:gs>
              </a:gsLst>
              <a:lin ang="0" scaled="1"/>
            </a:gradFill>
            <a:ln w="12700">
              <a:solidFill>
                <a:srgbClr val="000000"/>
              </a:solidFill>
              <a:prstDash val="solid"/>
            </a:ln>
          </c:spPr>
          <c:invertIfNegative val="0"/>
          <c:dLbls>
            <c:dLbl>
              <c:idx val="0"/>
              <c:layout>
                <c:manualLayout>
                  <c:x val="3.0306380129350875E-3"/>
                  <c:y val="0.26658349828365357"/>
                </c:manualLayout>
              </c:layout>
              <c:dLblPos val="outEnd"/>
              <c:showLegendKey val="0"/>
              <c:showVal val="1"/>
              <c:showCatName val="0"/>
              <c:showSerName val="0"/>
              <c:showPercent val="0"/>
              <c:showBubbleSize val="0"/>
            </c:dLbl>
            <c:dLbl>
              <c:idx val="1"/>
              <c:layout>
                <c:manualLayout>
                  <c:x val="6.2077295791467041E-3"/>
                  <c:y val="0.17254143223337678"/>
                </c:manualLayout>
              </c:layout>
              <c:dLblPos val="outEnd"/>
              <c:showLegendKey val="0"/>
              <c:showVal val="1"/>
              <c:showCatName val="0"/>
              <c:showSerName val="0"/>
              <c:showPercent val="0"/>
              <c:showBubbleSize val="0"/>
            </c:dLbl>
            <c:dLbl>
              <c:idx val="2"/>
              <c:layout>
                <c:manualLayout>
                  <c:x val="6.4555740539223678E-3"/>
                  <c:y val="-1.3785310983460161E-2"/>
                </c:manualLayout>
              </c:layout>
              <c:dLblPos val="outEnd"/>
              <c:showLegendKey val="0"/>
              <c:showVal val="1"/>
              <c:showCatName val="0"/>
              <c:showSerName val="0"/>
              <c:showPercent val="0"/>
              <c:showBubbleSize val="0"/>
            </c:dLbl>
            <c:dLbl>
              <c:idx val="3"/>
              <c:layout>
                <c:manualLayout>
                  <c:x val="6.1386241193535016E-3"/>
                  <c:y val="-8.0815218610494205E-3"/>
                </c:manualLayout>
              </c:layout>
              <c:dLblPos val="outEnd"/>
              <c:showLegendKey val="0"/>
              <c:showVal val="1"/>
              <c:showCatName val="0"/>
              <c:showSerName val="0"/>
              <c:showPercent val="0"/>
              <c:showBubbleSize val="0"/>
            </c:dLbl>
            <c:dLbl>
              <c:idx val="4"/>
              <c:layout>
                <c:manualLayout>
                  <c:x val="2.9802512034173864E-3"/>
                  <c:y val="-5.3828207371514458E-3"/>
                </c:manualLayout>
              </c:layout>
              <c:dLblPos val="outEnd"/>
              <c:showLegendKey val="0"/>
              <c:showVal val="1"/>
              <c:showCatName val="0"/>
              <c:showSerName val="0"/>
              <c:showPercent val="0"/>
              <c:showBubbleSize val="0"/>
            </c:dLbl>
            <c:spPr>
              <a:noFill/>
              <a:ln w="25400">
                <a:noFill/>
              </a:ln>
            </c:spPr>
            <c:txPr>
              <a:bodyPr rot="-5400000" vert="horz"/>
              <a:lstStyle/>
              <a:p>
                <a:pPr algn="ctr">
                  <a:defRPr sz="925" b="1" i="0" u="none" strike="noStrike" baseline="0">
                    <a:solidFill>
                      <a:srgbClr val="000080"/>
                    </a:solidFill>
                    <a:latin typeface="Calibri" panose="020F0502020204030204" pitchFamily="34" charset="0"/>
                    <a:ea typeface="Arial Cyr"/>
                    <a:cs typeface="Arial Cyr"/>
                  </a:defRPr>
                </a:pPr>
                <a:endParaRPr lang="ru-RU"/>
              </a:p>
            </c:txPr>
            <c:dLblPos val="outEnd"/>
            <c:showLegendKey val="0"/>
            <c:showVal val="1"/>
            <c:showCatName val="0"/>
            <c:showSerName val="0"/>
            <c:showPercent val="0"/>
            <c:showBubbleSize val="0"/>
            <c:showLeaderLines val="0"/>
          </c:dLbls>
          <c:cat>
            <c:strRef>
              <c:f>ДИАГР10!$C$7:$I$7</c:f>
              <c:strCache>
                <c:ptCount val="7"/>
                <c:pt idx="0">
                  <c:v>Штраф</c:v>
                </c:pt>
                <c:pt idx="1">
                  <c:v>Администр-ый арест</c:v>
                </c:pt>
                <c:pt idx="2">
                  <c:v>Лишение специального права</c:v>
                </c:pt>
                <c:pt idx="3">
                  <c:v>Дисквалиф-ия</c:v>
                </c:pt>
                <c:pt idx="4">
                  <c:v>Предупреж-ие (письменное)</c:v>
                </c:pt>
                <c:pt idx="5">
                  <c:v>Обязательные работы</c:v>
                </c:pt>
                <c:pt idx="6">
                  <c:v>конфискация</c:v>
                </c:pt>
              </c:strCache>
            </c:strRef>
          </c:cat>
          <c:val>
            <c:numRef>
              <c:f>ДИАГР10!$C$10:$I$10</c:f>
              <c:numCache>
                <c:formatCode>0.0</c:formatCode>
                <c:ptCount val="7"/>
                <c:pt idx="0">
                  <c:v>60.2</c:v>
                </c:pt>
                <c:pt idx="1">
                  <c:v>31.1</c:v>
                </c:pt>
                <c:pt idx="2">
                  <c:v>2</c:v>
                </c:pt>
                <c:pt idx="3">
                  <c:v>0.05</c:v>
                </c:pt>
                <c:pt idx="4">
                  <c:v>2.8</c:v>
                </c:pt>
                <c:pt idx="5">
                  <c:v>3.3</c:v>
                </c:pt>
                <c:pt idx="6">
                  <c:v>0</c:v>
                </c:pt>
              </c:numCache>
            </c:numRef>
          </c:val>
        </c:ser>
        <c:dLbls>
          <c:showLegendKey val="0"/>
          <c:showVal val="0"/>
          <c:showCatName val="0"/>
          <c:showSerName val="0"/>
          <c:showPercent val="0"/>
          <c:showBubbleSize val="0"/>
        </c:dLbls>
        <c:gapWidth val="150"/>
        <c:axId val="297446784"/>
        <c:axId val="300950656"/>
      </c:barChart>
      <c:catAx>
        <c:axId val="29744678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1" i="0" u="none" strike="noStrike" baseline="0">
                <a:solidFill>
                  <a:srgbClr val="000000"/>
                </a:solidFill>
                <a:latin typeface="Calibri" panose="020F0502020204030204" pitchFamily="34" charset="0"/>
                <a:ea typeface="Arial Cyr"/>
                <a:cs typeface="Arial Cyr"/>
              </a:defRPr>
            </a:pPr>
            <a:endParaRPr lang="ru-RU"/>
          </a:p>
        </c:txPr>
        <c:crossAx val="300950656"/>
        <c:crosses val="autoZero"/>
        <c:auto val="1"/>
        <c:lblAlgn val="ctr"/>
        <c:lblOffset val="100"/>
        <c:tickLblSkip val="1"/>
        <c:tickMarkSkip val="1"/>
        <c:noMultiLvlLbl val="0"/>
      </c:catAx>
      <c:valAx>
        <c:axId val="300950656"/>
        <c:scaling>
          <c:orientation val="minMax"/>
        </c:scaling>
        <c:delete val="0"/>
        <c:axPos val="l"/>
        <c:numFmt formatCode="0.0" sourceLinked="1"/>
        <c:majorTickMark val="out"/>
        <c:minorTickMark val="none"/>
        <c:tickLblPos val="nextTo"/>
        <c:spPr>
          <a:ln w="3175">
            <a:solidFill>
              <a:srgbClr val="000000"/>
            </a:solidFill>
            <a:prstDash val="solid"/>
          </a:ln>
        </c:spPr>
        <c:txPr>
          <a:bodyPr rot="0" vert="horz"/>
          <a:lstStyle/>
          <a:p>
            <a:pPr>
              <a:defRPr sz="800" b="0" i="1" u="none" strike="noStrike" baseline="0">
                <a:solidFill>
                  <a:sysClr val="windowText" lastClr="000000"/>
                </a:solidFill>
                <a:latin typeface="Arial Cyr"/>
                <a:ea typeface="Arial Cyr"/>
                <a:cs typeface="Arial Cyr"/>
              </a:defRPr>
            </a:pPr>
            <a:endParaRPr lang="ru-RU"/>
          </a:p>
        </c:txPr>
        <c:crossAx val="297446784"/>
        <c:crosses val="autoZero"/>
        <c:crossBetween val="between"/>
      </c:valAx>
      <c:spPr>
        <a:gradFill rotWithShape="0">
          <a:gsLst>
            <a:gs pos="0">
              <a:srgbClr val="FFFF99"/>
            </a:gs>
            <a:gs pos="100000">
              <a:srgbClr val="FFFF99">
                <a:gamma/>
                <a:shade val="46275"/>
                <a:invGamma/>
              </a:srgbClr>
            </a:gs>
          </a:gsLst>
          <a:lin ang="5400000" scaled="1"/>
        </a:gradFill>
        <a:ln w="12700">
          <a:solidFill>
            <a:srgbClr val="808080"/>
          </a:solidFill>
          <a:prstDash val="solid"/>
        </a:ln>
      </c:spPr>
    </c:plotArea>
    <c:legend>
      <c:legendPos val="r"/>
      <c:layout>
        <c:manualLayout>
          <c:xMode val="edge"/>
          <c:yMode val="edge"/>
          <c:x val="8.3612040133779261E-3"/>
          <c:y val="0.81760987429879484"/>
          <c:w val="0.16555201502822181"/>
          <c:h val="0.15597091781608985"/>
        </c:manualLayout>
      </c:layout>
      <c:overlay val="0"/>
      <c:spPr>
        <a:solidFill>
          <a:schemeClr val="bg2">
            <a:lumMod val="75000"/>
          </a:schemeClr>
        </a:solidFill>
        <a:ln w="3175">
          <a:solidFill>
            <a:srgbClr val="000000"/>
          </a:solidFill>
          <a:prstDash val="solid"/>
        </a:ln>
      </c:spPr>
      <c:txPr>
        <a:bodyPr/>
        <a:lstStyle/>
        <a:p>
          <a:pPr>
            <a:defRPr sz="920" b="1" i="0" u="none" strike="noStrike" baseline="0">
              <a:solidFill>
                <a:srgbClr val="000000"/>
              </a:solidFill>
              <a:latin typeface="Calibri" panose="020F0502020204030204" pitchFamily="34" charset="0"/>
              <a:ea typeface="Arial Cyr"/>
              <a:cs typeface="Arial Cyr"/>
            </a:defRPr>
          </a:pPr>
          <a:endParaRPr lang="ru-RU"/>
        </a:p>
      </c:txPr>
    </c:legend>
    <c:plotVisOnly val="1"/>
    <c:dispBlanksAs val="gap"/>
    <c:showDLblsOverMax val="0"/>
  </c:chart>
  <c:spPr>
    <a:solidFill>
      <a:schemeClr val="bg2">
        <a:lumMod val="75000"/>
      </a:schemeClr>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i="0" u="none" strike="noStrike" baseline="0">
                <a:solidFill>
                  <a:srgbClr val="000000"/>
                </a:solidFill>
                <a:latin typeface="Calibri"/>
                <a:ea typeface="Calibri"/>
                <a:cs typeface="Calibri"/>
              </a:defRPr>
            </a:pPr>
            <a:r>
              <a:rPr lang="ru-RU" sz="1100" b="1" i="0" u="none" strike="noStrike" baseline="0">
                <a:solidFill>
                  <a:srgbClr val="000000"/>
                </a:solidFill>
                <a:latin typeface="Times New Roman"/>
                <a:cs typeface="Times New Roman"/>
              </a:rPr>
              <a:t>Количество  осужденных лиц </a:t>
            </a:r>
          </a:p>
          <a:p>
            <a:pPr>
              <a:defRPr sz="1100" b="0" i="0" u="none" strike="noStrike" baseline="0">
                <a:solidFill>
                  <a:srgbClr val="000000"/>
                </a:solidFill>
                <a:latin typeface="Calibri"/>
                <a:ea typeface="Calibri"/>
                <a:cs typeface="Calibri"/>
              </a:defRPr>
            </a:pPr>
            <a:r>
              <a:rPr lang="ru-RU" sz="1100" b="1" i="0" u="none" strike="noStrike" baseline="0">
                <a:solidFill>
                  <a:srgbClr val="000000"/>
                </a:solidFill>
                <a:latin typeface="Times New Roman"/>
                <a:cs typeface="Times New Roman"/>
              </a:rPr>
              <a:t>за период с 2013 по 2017 гг.</a:t>
            </a:r>
          </a:p>
          <a:p>
            <a:pPr>
              <a:defRPr sz="1100" b="0" i="0" u="none" strike="noStrike" baseline="0">
                <a:solidFill>
                  <a:srgbClr val="000000"/>
                </a:solidFill>
                <a:latin typeface="Calibri"/>
                <a:ea typeface="Calibri"/>
                <a:cs typeface="Calibri"/>
              </a:defRPr>
            </a:pPr>
            <a:endParaRPr lang="ru-RU" sz="1100" b="1" i="0" u="none" strike="noStrike" baseline="0">
              <a:solidFill>
                <a:srgbClr val="000000"/>
              </a:solidFill>
              <a:latin typeface="Times New Roman"/>
              <a:cs typeface="Times New Roman"/>
            </a:endParaRPr>
          </a:p>
        </c:rich>
      </c:tx>
      <c:overlay val="0"/>
      <c:spPr>
        <a:noFill/>
        <a:ln w="25400">
          <a:noFill/>
        </a:ln>
      </c:spPr>
    </c:title>
    <c:autoTitleDeleted val="0"/>
    <c:plotArea>
      <c:layout>
        <c:manualLayout>
          <c:layoutTarget val="inner"/>
          <c:xMode val="edge"/>
          <c:yMode val="edge"/>
          <c:x val="0.11641221374045801"/>
          <c:y val="0.22727339983842282"/>
          <c:w val="0.84160305343511455"/>
          <c:h val="0.64545645554112085"/>
        </c:manualLayout>
      </c:layout>
      <c:barChart>
        <c:barDir val="col"/>
        <c:grouping val="clustered"/>
        <c:varyColors val="0"/>
        <c:ser>
          <c:idx val="0"/>
          <c:order val="0"/>
          <c:tx>
            <c:strRef>
              <c:f>'общие осужденные'!$A$2</c:f>
              <c:strCache>
                <c:ptCount val="1"/>
                <c:pt idx="0">
                  <c:v>Всего осуждено</c:v>
                </c:pt>
              </c:strCache>
            </c:strRef>
          </c:tx>
          <c:spPr>
            <a:gradFill rotWithShape="0">
              <a:gsLst>
                <a:gs pos="0">
                  <a:srgbClr val="993366"/>
                </a:gs>
                <a:gs pos="100000">
                  <a:srgbClr val="FFFFFF"/>
                </a:gs>
              </a:gsLst>
              <a:lin ang="0" scaled="1"/>
            </a:gradFill>
            <a:ln w="12700">
              <a:solidFill>
                <a:srgbClr val="000000"/>
              </a:solidFill>
              <a:prstDash val="solid"/>
            </a:ln>
          </c:spPr>
          <c:invertIfNegative val="0"/>
          <c:dLbls>
            <c:dLbl>
              <c:idx val="0"/>
              <c:layout>
                <c:manualLayout>
                  <c:x val="2.417239930080355E-3"/>
                  <c:y val="-3.7340363932807513E-3"/>
                </c:manualLayout>
              </c:layout>
              <c:dLblPos val="outEnd"/>
              <c:showLegendKey val="0"/>
              <c:showVal val="1"/>
              <c:showCatName val="0"/>
              <c:showSerName val="0"/>
              <c:showPercent val="0"/>
              <c:showBubbleSize val="0"/>
            </c:dLbl>
            <c:dLbl>
              <c:idx val="1"/>
              <c:layout>
                <c:manualLayout>
                  <c:x val="-1.3994910941474929E-3"/>
                  <c:y val="-1.2775213122494015E-2"/>
                </c:manualLayout>
              </c:layout>
              <c:dLblPos val="outEnd"/>
              <c:showLegendKey val="0"/>
              <c:showVal val="1"/>
              <c:showCatName val="0"/>
              <c:showSerName val="0"/>
              <c:showPercent val="0"/>
              <c:showBubbleSize val="0"/>
            </c:dLbl>
            <c:dLbl>
              <c:idx val="2"/>
              <c:layout>
                <c:manualLayout>
                  <c:x val="-3.3079070918948491E-3"/>
                  <c:y val="-1.9508672481803942E-2"/>
                </c:manualLayout>
              </c:layout>
              <c:dLblPos val="outEnd"/>
              <c:showLegendKey val="0"/>
              <c:showVal val="1"/>
              <c:showCatName val="0"/>
              <c:showSerName val="0"/>
              <c:showPercent val="0"/>
              <c:showBubbleSize val="0"/>
            </c:dLbl>
            <c:dLbl>
              <c:idx val="3"/>
              <c:layout>
                <c:manualLayout>
                  <c:x val="-3.9084735170771103E-3"/>
                  <c:y val="-9.5961012130188639E-3"/>
                </c:manualLayout>
              </c:layout>
              <c:dLblPos val="outEnd"/>
              <c:showLegendKey val="0"/>
              <c:showVal val="1"/>
              <c:showCatName val="0"/>
              <c:showSerName val="0"/>
              <c:showPercent val="0"/>
              <c:showBubbleSize val="0"/>
            </c:dLbl>
            <c:dLbl>
              <c:idx val="4"/>
              <c:layout>
                <c:manualLayout>
                  <c:x val="-1.3996919080436359E-3"/>
                  <c:y val="-1.2361428959311121E-2"/>
                </c:manualLayout>
              </c:layout>
              <c:dLblPos val="outEnd"/>
              <c:showLegendKey val="0"/>
              <c:showVal val="1"/>
              <c:showCatName val="0"/>
              <c:showSerName val="0"/>
              <c:showPercent val="0"/>
              <c:showBubbleSize val="0"/>
            </c:dLbl>
            <c:spPr>
              <a:noFill/>
              <a:ln w="25400">
                <a:noFill/>
              </a:ln>
            </c:spPr>
            <c:txPr>
              <a:bodyPr/>
              <a:lstStyle/>
              <a:p>
                <a:pPr>
                  <a:defRPr sz="1000" b="1" i="0" u="none" strike="noStrike" baseline="0">
                    <a:solidFill>
                      <a:srgbClr val="800080"/>
                    </a:solidFill>
                    <a:latin typeface="Calibri"/>
                    <a:ea typeface="Calibri"/>
                    <a:cs typeface="Calibri"/>
                  </a:defRPr>
                </a:pPr>
                <a:endParaRPr lang="ru-RU"/>
              </a:p>
            </c:txPr>
            <c:dLblPos val="outEnd"/>
            <c:showLegendKey val="0"/>
            <c:showVal val="1"/>
            <c:showCatName val="0"/>
            <c:showSerName val="0"/>
            <c:showPercent val="0"/>
            <c:showBubbleSize val="0"/>
            <c:showLeaderLines val="0"/>
          </c:dLbls>
          <c:cat>
            <c:numRef>
              <c:f>'общие осужденные'!$B$1:$F$1</c:f>
              <c:numCache>
                <c:formatCode>General</c:formatCode>
                <c:ptCount val="5"/>
                <c:pt idx="0">
                  <c:v>2013</c:v>
                </c:pt>
                <c:pt idx="1">
                  <c:v>2014</c:v>
                </c:pt>
                <c:pt idx="2">
                  <c:v>2015</c:v>
                </c:pt>
                <c:pt idx="3">
                  <c:v>2016</c:v>
                </c:pt>
                <c:pt idx="4">
                  <c:v>2017</c:v>
                </c:pt>
              </c:numCache>
            </c:numRef>
          </c:cat>
          <c:val>
            <c:numRef>
              <c:f>'общие осужденные'!$B$2:$F$2</c:f>
              <c:numCache>
                <c:formatCode>General</c:formatCode>
                <c:ptCount val="5"/>
                <c:pt idx="0">
                  <c:v>16601</c:v>
                </c:pt>
                <c:pt idx="1">
                  <c:v>15373</c:v>
                </c:pt>
                <c:pt idx="2">
                  <c:v>16278</c:v>
                </c:pt>
                <c:pt idx="3">
                  <c:v>15074</c:v>
                </c:pt>
                <c:pt idx="4">
                  <c:v>16492</c:v>
                </c:pt>
              </c:numCache>
            </c:numRef>
          </c:val>
        </c:ser>
        <c:dLbls>
          <c:showLegendKey val="0"/>
          <c:showVal val="0"/>
          <c:showCatName val="0"/>
          <c:showSerName val="0"/>
          <c:showPercent val="0"/>
          <c:showBubbleSize val="0"/>
        </c:dLbls>
        <c:gapWidth val="150"/>
        <c:axId val="301020672"/>
        <c:axId val="301022208"/>
      </c:barChart>
      <c:catAx>
        <c:axId val="301020672"/>
        <c:scaling>
          <c:orientation val="minMax"/>
        </c:scaling>
        <c:delete val="0"/>
        <c:axPos val="b"/>
        <c:numFmt formatCode="General" sourceLinked="1"/>
        <c:majorTickMark val="out"/>
        <c:minorTickMark val="none"/>
        <c:tickLblPos val="nextTo"/>
        <c:txPr>
          <a:bodyPr rot="0" vert="horz"/>
          <a:lstStyle/>
          <a:p>
            <a:pPr>
              <a:defRPr sz="1000" b="1" i="0" u="none" strike="noStrike" baseline="0">
                <a:solidFill>
                  <a:srgbClr val="000000"/>
                </a:solidFill>
                <a:latin typeface="Calibri"/>
                <a:ea typeface="Calibri"/>
                <a:cs typeface="Calibri"/>
              </a:defRPr>
            </a:pPr>
            <a:endParaRPr lang="ru-RU"/>
          </a:p>
        </c:txPr>
        <c:crossAx val="301022208"/>
        <c:crosses val="autoZero"/>
        <c:auto val="1"/>
        <c:lblAlgn val="ctr"/>
        <c:lblOffset val="100"/>
        <c:noMultiLvlLbl val="0"/>
      </c:catAx>
      <c:valAx>
        <c:axId val="301022208"/>
        <c:scaling>
          <c:orientation val="minMax"/>
        </c:scaling>
        <c:delete val="0"/>
        <c:axPos val="l"/>
        <c:numFmt formatCode="General" sourceLinked="1"/>
        <c:majorTickMark val="out"/>
        <c:minorTickMark val="none"/>
        <c:tickLblPos val="nextTo"/>
        <c:spPr>
          <a:ln>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ru-RU"/>
          </a:p>
        </c:txPr>
        <c:crossAx val="301020672"/>
        <c:crosses val="autoZero"/>
        <c:crossBetween val="between"/>
      </c:valAx>
      <c:spPr>
        <a:gradFill rotWithShape="0">
          <a:gsLst>
            <a:gs pos="0">
              <a:srgbClr val="FFFFCC"/>
            </a:gs>
            <a:gs pos="100000">
              <a:srgbClr val="FFFFCC">
                <a:gamma/>
                <a:shade val="46275"/>
                <a:invGamma/>
              </a:srgbClr>
            </a:gs>
          </a:gsLst>
          <a:lin ang="2700000" scaled="1"/>
        </a:gradFill>
        <a:ln w="25400">
          <a:noFill/>
        </a:ln>
        <a:effectLst>
          <a:outerShdw dist="35921" dir="2700000" algn="br">
            <a:srgbClr val="000000"/>
          </a:outerShdw>
        </a:effectLst>
      </c:spPr>
    </c:plotArea>
    <c:plotVisOnly val="1"/>
    <c:dispBlanksAs val="zero"/>
    <c:showDLblsOverMax val="0"/>
  </c:chart>
  <c:spPr>
    <a:gradFill rotWithShape="0">
      <a:gsLst>
        <a:gs pos="0">
          <a:srgbClr val="FFFFCC"/>
        </a:gs>
        <a:gs pos="100000">
          <a:srgbClr val="FFFFCC">
            <a:gamma/>
            <a:shade val="46275"/>
            <a:invGamma/>
          </a:srgbClr>
        </a:gs>
      </a:gsLst>
      <a:lin ang="2700000" scaled="1"/>
    </a:gra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i="0" u="none" strike="noStrike" baseline="0">
                <a:solidFill>
                  <a:srgbClr val="000000"/>
                </a:solidFill>
                <a:latin typeface="Times New Roman" panose="02020603050405020304" pitchFamily="18" charset="0"/>
                <a:ea typeface="Calibri"/>
                <a:cs typeface="Calibri"/>
              </a:defRPr>
            </a:pPr>
            <a:r>
              <a:rPr lang="ru-RU" sz="1100" b="1" i="0" u="none" strike="noStrike" baseline="0">
                <a:solidFill>
                  <a:srgbClr val="000000"/>
                </a:solidFill>
                <a:latin typeface="Times New Roman" panose="02020603050405020304" pitchFamily="18" charset="0"/>
              </a:rPr>
              <a:t>Категории тяжести совершенных преступлений </a:t>
            </a:r>
          </a:p>
          <a:p>
            <a:pPr>
              <a:defRPr sz="1100" b="0" i="0" u="none" strike="noStrike" baseline="0">
                <a:solidFill>
                  <a:srgbClr val="000000"/>
                </a:solidFill>
                <a:latin typeface="Times New Roman" panose="02020603050405020304" pitchFamily="18" charset="0"/>
                <a:ea typeface="Calibri"/>
                <a:cs typeface="Calibri"/>
              </a:defRPr>
            </a:pPr>
            <a:r>
              <a:rPr lang="ru-RU" sz="1100" b="1" i="0" u="none" strike="noStrike" baseline="0">
                <a:solidFill>
                  <a:srgbClr val="000000"/>
                </a:solidFill>
                <a:latin typeface="Times New Roman" panose="02020603050405020304" pitchFamily="18" charset="0"/>
              </a:rPr>
              <a:t>в 2017 году</a:t>
            </a:r>
          </a:p>
        </c:rich>
      </c:tx>
      <c:overlay val="0"/>
      <c:spPr>
        <a:noFill/>
        <a:ln w="25400">
          <a:noFill/>
        </a:ln>
      </c:spPr>
    </c:title>
    <c:autoTitleDeleted val="0"/>
    <c:view3D>
      <c:rotX val="30"/>
      <c:rotY val="156"/>
      <c:rAngAx val="0"/>
      <c:perspective val="30"/>
    </c:view3D>
    <c:floor>
      <c:thickness val="0"/>
    </c:floor>
    <c:sideWall>
      <c:thickness val="0"/>
    </c:sideWall>
    <c:backWall>
      <c:thickness val="0"/>
    </c:backWall>
    <c:plotArea>
      <c:layout>
        <c:manualLayout>
          <c:layoutTarget val="inner"/>
          <c:xMode val="edge"/>
          <c:yMode val="edge"/>
          <c:x val="5.1313439353427755E-2"/>
          <c:y val="0.22105345788523431"/>
          <c:w val="0.59376979823252118"/>
          <c:h val="0.57990647393269268"/>
        </c:manualLayout>
      </c:layout>
      <c:pie3DChart>
        <c:varyColors val="1"/>
        <c:ser>
          <c:idx val="0"/>
          <c:order val="0"/>
          <c:explosion val="16"/>
          <c:dPt>
            <c:idx val="0"/>
            <c:bubble3D val="0"/>
          </c:dPt>
          <c:dPt>
            <c:idx val="1"/>
            <c:bubble3D val="0"/>
          </c:dPt>
          <c:dPt>
            <c:idx val="2"/>
            <c:bubble3D val="0"/>
          </c:dPt>
          <c:dPt>
            <c:idx val="3"/>
            <c:bubble3D val="0"/>
          </c:dPt>
          <c:dLbls>
            <c:dLbl>
              <c:idx val="0"/>
              <c:layout>
                <c:manualLayout>
                  <c:x val="7.0818070818070816E-2"/>
                  <c:y val="0.17241379310344829"/>
                </c:manualLayout>
              </c:layout>
              <c:tx>
                <c:rich>
                  <a:bodyPr/>
                  <a:lstStyle/>
                  <a:p>
                    <a:r>
                      <a:rPr lang="ru-RU" sz="1000" baseline="0"/>
                      <a:t>8544 лица</a:t>
                    </a:r>
                    <a:endParaRPr lang="ru-RU"/>
                  </a:p>
                </c:rich>
              </c:tx>
              <c:dLblPos val="bestFit"/>
              <c:showLegendKey val="0"/>
              <c:showVal val="0"/>
              <c:showCatName val="0"/>
              <c:showSerName val="0"/>
              <c:showPercent val="0"/>
              <c:showBubbleSize val="0"/>
            </c:dLbl>
            <c:dLbl>
              <c:idx val="1"/>
              <c:layout>
                <c:manualLayout>
                  <c:x val="5.8608058608058608E-2"/>
                  <c:y val="2.2988505747126436E-2"/>
                </c:manualLayout>
              </c:layout>
              <c:tx>
                <c:rich>
                  <a:bodyPr/>
                  <a:lstStyle/>
                  <a:p>
                    <a:r>
                      <a:rPr lang="ru-RU" sz="1000" baseline="0"/>
                      <a:t>3928 лиц</a:t>
                    </a:r>
                    <a:endParaRPr lang="ru-RU"/>
                  </a:p>
                </c:rich>
              </c:tx>
              <c:dLblPos val="bestFit"/>
              <c:showLegendKey val="0"/>
              <c:showVal val="0"/>
              <c:showCatName val="0"/>
              <c:showSerName val="0"/>
              <c:showPercent val="0"/>
              <c:showBubbleSize val="0"/>
            </c:dLbl>
            <c:dLbl>
              <c:idx val="2"/>
              <c:layout>
                <c:manualLayout>
                  <c:x val="4.7648193685325767E-2"/>
                  <c:y val="-2.8681939206007749E-2"/>
                </c:manualLayout>
              </c:layout>
              <c:tx>
                <c:rich>
                  <a:bodyPr/>
                  <a:lstStyle/>
                  <a:p>
                    <a:r>
                      <a:rPr lang="ru-RU" sz="1000" baseline="0"/>
                      <a:t>3096 лиц 
</a:t>
                    </a:r>
                    <a:endParaRPr lang="ru-RU"/>
                  </a:p>
                </c:rich>
              </c:tx>
              <c:dLblPos val="bestFit"/>
              <c:showLegendKey val="0"/>
              <c:showVal val="0"/>
              <c:showCatName val="0"/>
              <c:showSerName val="0"/>
              <c:showPercent val="0"/>
              <c:showBubbleSize val="0"/>
            </c:dLbl>
            <c:dLbl>
              <c:idx val="3"/>
              <c:layout>
                <c:manualLayout>
                  <c:x val="-4.1514041514041512E-2"/>
                  <c:y val="5.3639846743295021E-2"/>
                </c:manualLayout>
              </c:layout>
              <c:tx>
                <c:rich>
                  <a:bodyPr/>
                  <a:lstStyle/>
                  <a:p>
                    <a:r>
                      <a:rPr lang="ru-RU" sz="1000" baseline="0"/>
                      <a:t>924 лица</a:t>
                    </a:r>
                    <a:endParaRPr lang="ru-RU"/>
                  </a:p>
                </c:rich>
              </c:tx>
              <c:dLblPos val="bestFit"/>
              <c:showLegendKey val="0"/>
              <c:showVal val="0"/>
              <c:showCatName val="0"/>
              <c:showSerName val="0"/>
              <c:showPercent val="0"/>
              <c:showBubbleSize val="0"/>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showLeaderLines val="1"/>
          </c:dLbls>
          <c:cat>
            <c:strRef>
              <c:f>'категория тяжести'!$A$2:$A$5</c:f>
              <c:strCache>
                <c:ptCount val="4"/>
                <c:pt idx="0">
                  <c:v>небольшой тяжести</c:v>
                </c:pt>
                <c:pt idx="1">
                  <c:v>средней тяжести</c:v>
                </c:pt>
                <c:pt idx="2">
                  <c:v>тяжкие</c:v>
                </c:pt>
                <c:pt idx="3">
                  <c:v>особо тяжкие</c:v>
                </c:pt>
              </c:strCache>
            </c:strRef>
          </c:cat>
          <c:val>
            <c:numRef>
              <c:f>'категория тяжести'!$B$2:$B$5</c:f>
              <c:numCache>
                <c:formatCode>General</c:formatCode>
                <c:ptCount val="4"/>
                <c:pt idx="0">
                  <c:v>8544</c:v>
                </c:pt>
                <c:pt idx="1">
                  <c:v>3928</c:v>
                </c:pt>
                <c:pt idx="2">
                  <c:v>3096</c:v>
                </c:pt>
                <c:pt idx="3">
                  <c:v>924</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0370472921654026"/>
          <c:y val="0.65387214529218329"/>
          <c:w val="0.27672598617480504"/>
          <c:h val="0.2928240866443419"/>
        </c:manualLayout>
      </c:layout>
      <c:overlay val="0"/>
      <c:txPr>
        <a:bodyPr/>
        <a:lstStyle/>
        <a:p>
          <a:pPr>
            <a:defRPr sz="1000" b="1" i="0" u="none" strike="noStrike" baseline="0">
              <a:solidFill>
                <a:srgbClr val="000000"/>
              </a:solidFill>
              <a:latin typeface="Calibri"/>
              <a:ea typeface="Calibri"/>
              <a:cs typeface="Calibri"/>
            </a:defRPr>
          </a:pPr>
          <a:endParaRPr lang="ru-RU"/>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i="0" u="none" strike="noStrike" baseline="0">
                <a:solidFill>
                  <a:srgbClr val="000000"/>
                </a:solidFill>
                <a:latin typeface="Times New Roman" panose="02020603050405020304" pitchFamily="18" charset="0"/>
                <a:ea typeface="Arial Cyr"/>
                <a:cs typeface="Arial Cyr"/>
              </a:defRPr>
            </a:pPr>
            <a:r>
              <a:rPr lang="ru-RU" sz="1100" b="1" i="0" u="none" strike="noStrike" baseline="0">
                <a:solidFill>
                  <a:srgbClr val="000000"/>
                </a:solidFill>
                <a:latin typeface="Times New Roman" panose="02020603050405020304" pitchFamily="18" charset="0"/>
                <a:cs typeface="Arial Cyr"/>
              </a:rPr>
              <a:t>Наиболее часто применяемые меры наказания</a:t>
            </a:r>
          </a:p>
          <a:p>
            <a:pPr>
              <a:defRPr sz="1100" b="0" i="0" u="none" strike="noStrike" baseline="0">
                <a:solidFill>
                  <a:srgbClr val="000000"/>
                </a:solidFill>
                <a:latin typeface="Times New Roman" panose="02020603050405020304" pitchFamily="18" charset="0"/>
                <a:ea typeface="Arial Cyr"/>
                <a:cs typeface="Arial Cyr"/>
              </a:defRPr>
            </a:pPr>
            <a:r>
              <a:rPr lang="ru-RU" sz="1100" b="1" i="0" u="none" strike="noStrike" baseline="0">
                <a:solidFill>
                  <a:srgbClr val="000000"/>
                </a:solidFill>
                <a:latin typeface="Times New Roman" panose="02020603050405020304" pitchFamily="18" charset="0"/>
                <a:cs typeface="Arial Cyr"/>
              </a:rPr>
              <a:t> в период с 2013 по 2017 гг.</a:t>
            </a:r>
          </a:p>
        </c:rich>
      </c:tx>
      <c:layout>
        <c:manualLayout>
          <c:xMode val="edge"/>
          <c:yMode val="edge"/>
          <c:x val="0.18211945299727797"/>
          <c:y val="3.0501089324618737E-2"/>
        </c:manualLayout>
      </c:layout>
      <c:overlay val="0"/>
      <c:spPr>
        <a:noFill/>
        <a:ln w="25400">
          <a:noFill/>
        </a:ln>
      </c:spPr>
    </c:title>
    <c:autoTitleDeleted val="0"/>
    <c:plotArea>
      <c:layout>
        <c:manualLayout>
          <c:layoutTarget val="inner"/>
          <c:xMode val="edge"/>
          <c:yMode val="edge"/>
          <c:x val="8.1067089919732729E-2"/>
          <c:y val="0.15904185179466943"/>
          <c:w val="0.91893119713626958"/>
          <c:h val="0.76312515043286089"/>
        </c:manualLayout>
      </c:layout>
      <c:lineChart>
        <c:grouping val="standard"/>
        <c:varyColors val="0"/>
        <c:ser>
          <c:idx val="0"/>
          <c:order val="0"/>
          <c:tx>
            <c:strRef>
              <c:f>наказания!$B$5</c:f>
              <c:strCache>
                <c:ptCount val="1"/>
                <c:pt idx="0">
                  <c:v>лишению свободы на определенный срок </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dLbls>
            <c:dLbl>
              <c:idx val="0"/>
              <c:layout>
                <c:manualLayout>
                  <c:x val="-0.10844461778355134"/>
                  <c:y val="-7.6605955396635964E-2"/>
                </c:manualLayout>
              </c:layout>
              <c:tx>
                <c:rich>
                  <a:bodyPr/>
                  <a:lstStyle/>
                  <a:p>
                    <a:r>
                      <a:rPr lang="ru-RU" sz="1000" baseline="0">
                        <a:latin typeface="Calibri" panose="020F0502020204030204" pitchFamily="34" charset="0"/>
                      </a:rPr>
                      <a:t>Лишение свободы
4001</a:t>
                    </a:r>
                    <a:endParaRPr lang="ru-RU"/>
                  </a:p>
                </c:rich>
              </c:tx>
              <c:dLblPos val="r"/>
              <c:showLegendKey val="0"/>
              <c:showVal val="0"/>
              <c:showCatName val="0"/>
              <c:showSerName val="0"/>
              <c:showPercent val="0"/>
              <c:showBubbleSize val="0"/>
            </c:dLbl>
            <c:dLbl>
              <c:idx val="1"/>
              <c:layout>
                <c:manualLayout>
                  <c:x val="-2.7969153340368497E-2"/>
                  <c:y val="5.6691083549196872E-2"/>
                </c:manualLayout>
              </c:layout>
              <c:dLblPos val="r"/>
              <c:showLegendKey val="0"/>
              <c:showVal val="1"/>
              <c:showCatName val="0"/>
              <c:showSerName val="0"/>
              <c:showPercent val="0"/>
              <c:showBubbleSize val="0"/>
            </c:dLbl>
            <c:dLbl>
              <c:idx val="2"/>
              <c:layout>
                <c:manualLayout>
                  <c:x val="-2.5938135954344688E-2"/>
                  <c:y val="-5.4996591704995101E-2"/>
                </c:manualLayout>
              </c:layout>
              <c:dLblPos val="r"/>
              <c:showLegendKey val="0"/>
              <c:showVal val="1"/>
              <c:showCatName val="0"/>
              <c:showSerName val="0"/>
              <c:showPercent val="0"/>
              <c:showBubbleSize val="0"/>
            </c:dLbl>
            <c:dLbl>
              <c:idx val="3"/>
              <c:layout>
                <c:manualLayout>
                  <c:x val="-4.1659368310459029E-2"/>
                  <c:y val="4.0582212196268744E-2"/>
                </c:manualLayout>
              </c:layout>
              <c:dLblPos val="r"/>
              <c:showLegendKey val="0"/>
              <c:showVal val="1"/>
              <c:showCatName val="0"/>
              <c:showSerName val="0"/>
              <c:showPercent val="0"/>
              <c:showBubbleSize val="0"/>
            </c:dLbl>
            <c:dLbl>
              <c:idx val="4"/>
              <c:layout>
                <c:manualLayout>
                  <c:x val="-6.1241983927266827E-3"/>
                  <c:y val="3.6730081942371581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00008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наказания!$C$2:$G$2</c:f>
              <c:numCache>
                <c:formatCode>General</c:formatCode>
                <c:ptCount val="5"/>
                <c:pt idx="0">
                  <c:v>2013</c:v>
                </c:pt>
                <c:pt idx="1">
                  <c:v>2014</c:v>
                </c:pt>
                <c:pt idx="2">
                  <c:v>2015</c:v>
                </c:pt>
                <c:pt idx="3">
                  <c:v>2016</c:v>
                </c:pt>
                <c:pt idx="4">
                  <c:v>2017</c:v>
                </c:pt>
              </c:numCache>
            </c:numRef>
          </c:cat>
          <c:val>
            <c:numRef>
              <c:f>наказания!$C$5:$G$5</c:f>
              <c:numCache>
                <c:formatCode>General</c:formatCode>
                <c:ptCount val="5"/>
                <c:pt idx="0">
                  <c:v>4001</c:v>
                </c:pt>
                <c:pt idx="1">
                  <c:v>3953</c:v>
                </c:pt>
                <c:pt idx="2">
                  <c:v>4344</c:v>
                </c:pt>
                <c:pt idx="3">
                  <c:v>3962</c:v>
                </c:pt>
                <c:pt idx="4">
                  <c:v>4682</c:v>
                </c:pt>
              </c:numCache>
            </c:numRef>
          </c:val>
          <c:smooth val="1"/>
        </c:ser>
        <c:ser>
          <c:idx val="1"/>
          <c:order val="1"/>
          <c:tx>
            <c:strRef>
              <c:f>наказания!$B$6</c:f>
              <c:strCache>
                <c:ptCount val="1"/>
                <c:pt idx="0">
                  <c:v>условно с испытательным сроком</c:v>
                </c:pt>
              </c:strCache>
            </c:strRef>
          </c:tx>
          <c:spPr>
            <a:ln w="38100">
              <a:solidFill>
                <a:srgbClr val="FF00FF"/>
              </a:solidFill>
              <a:prstDash val="solid"/>
            </a:ln>
          </c:spPr>
          <c:marker>
            <c:symbol val="square"/>
            <c:size val="6"/>
            <c:spPr>
              <a:solidFill>
                <a:srgbClr val="FF00FF"/>
              </a:solidFill>
              <a:ln>
                <a:solidFill>
                  <a:srgbClr val="FF00FF"/>
                </a:solidFill>
                <a:prstDash val="solid"/>
              </a:ln>
            </c:spPr>
          </c:marker>
          <c:dLbls>
            <c:dLbl>
              <c:idx val="0"/>
              <c:layout>
                <c:manualLayout>
                  <c:x val="-0.1056015011596287"/>
                  <c:y val="-5.7877762944583078E-2"/>
                </c:manualLayout>
              </c:layout>
              <c:tx>
                <c:rich>
                  <a:bodyPr/>
                  <a:lstStyle/>
                  <a:p>
                    <a:pPr>
                      <a:defRPr sz="1000" b="0" i="0" u="none" strike="noStrike" baseline="0">
                        <a:solidFill>
                          <a:srgbClr val="000000"/>
                        </a:solidFill>
                        <a:latin typeface="Calibri" panose="020F0502020204030204" pitchFamily="34" charset="0"/>
                        <a:ea typeface="Arial Cyr"/>
                        <a:cs typeface="Arial Cyr"/>
                      </a:defRPr>
                    </a:pPr>
                    <a:r>
                      <a:rPr lang="ru-RU" sz="1000" b="1" i="1" u="none" strike="noStrike" baseline="0">
                        <a:solidFill>
                          <a:srgbClr val="993366"/>
                        </a:solidFill>
                        <a:latin typeface="Calibri" panose="020F0502020204030204" pitchFamily="34" charset="0"/>
                        <a:cs typeface="Arial Cyr"/>
                      </a:rPr>
                      <a:t>Условное осуждение</a:t>
                    </a:r>
                  </a:p>
                  <a:p>
                    <a:pPr>
                      <a:defRPr sz="1000" b="0" i="0" u="none" strike="noStrike" baseline="0">
                        <a:solidFill>
                          <a:srgbClr val="000000"/>
                        </a:solidFill>
                        <a:latin typeface="Calibri" panose="020F0502020204030204" pitchFamily="34" charset="0"/>
                        <a:ea typeface="Arial Cyr"/>
                        <a:cs typeface="Arial Cyr"/>
                      </a:defRPr>
                    </a:pPr>
                    <a:r>
                      <a:rPr lang="ru-RU" sz="1000" b="1" i="1" u="none" strike="noStrike" baseline="0">
                        <a:solidFill>
                          <a:srgbClr val="993366"/>
                        </a:solidFill>
                        <a:latin typeface="Calibri" panose="020F0502020204030204" pitchFamily="34" charset="0"/>
                        <a:cs typeface="Arial Cyr"/>
                      </a:rPr>
                      <a:t>5282</a:t>
                    </a:r>
                  </a:p>
                  <a:p>
                    <a:pPr>
                      <a:defRPr sz="1000" b="0" i="0" u="none" strike="noStrike" baseline="0">
                        <a:solidFill>
                          <a:srgbClr val="000000"/>
                        </a:solidFill>
                        <a:latin typeface="Calibri" panose="020F0502020204030204" pitchFamily="34" charset="0"/>
                        <a:ea typeface="Arial Cyr"/>
                        <a:cs typeface="Arial Cyr"/>
                      </a:defRPr>
                    </a:pPr>
                    <a:endParaRPr lang="ru-RU" sz="1125" b="1" i="1" u="none" strike="noStrike" baseline="0">
                      <a:solidFill>
                        <a:srgbClr val="993366"/>
                      </a:solidFill>
                      <a:latin typeface="Arial Cyr"/>
                      <a:cs typeface="Arial Cyr"/>
                    </a:endParaRPr>
                  </a:p>
                </c:rich>
              </c:tx>
              <c:spPr>
                <a:noFill/>
                <a:ln w="25400">
                  <a:noFill/>
                </a:ln>
              </c:spPr>
              <c:dLblPos val="r"/>
              <c:showLegendKey val="0"/>
              <c:showVal val="0"/>
              <c:showCatName val="0"/>
              <c:showSerName val="0"/>
              <c:showPercent val="0"/>
              <c:showBubbleSize val="0"/>
            </c:dLbl>
            <c:dLbl>
              <c:idx val="1"/>
              <c:layout>
                <c:manualLayout>
                  <c:x val="-2.7285022833255096E-2"/>
                  <c:y val="-4.2215287687367473E-2"/>
                </c:manualLayout>
              </c:layout>
              <c:dLblPos val="r"/>
              <c:showLegendKey val="0"/>
              <c:showVal val="1"/>
              <c:showCatName val="0"/>
              <c:showSerName val="0"/>
              <c:showPercent val="0"/>
              <c:showBubbleSize val="0"/>
            </c:dLbl>
            <c:dLbl>
              <c:idx val="2"/>
              <c:layout>
                <c:manualLayout>
                  <c:x val="-3.8921127683938427E-2"/>
                  <c:y val="4.2373841122488688E-2"/>
                </c:manualLayout>
              </c:layout>
              <c:dLblPos val="r"/>
              <c:showLegendKey val="0"/>
              <c:showVal val="1"/>
              <c:showCatName val="0"/>
              <c:showSerName val="0"/>
              <c:showPercent val="0"/>
              <c:showBubbleSize val="0"/>
            </c:dLbl>
            <c:dLbl>
              <c:idx val="3"/>
              <c:layout>
                <c:manualLayout>
                  <c:x val="-4.3496528629027621E-2"/>
                  <c:y val="-5.8685679140117679E-2"/>
                </c:manualLayout>
              </c:layout>
              <c:dLblPos val="r"/>
              <c:showLegendKey val="0"/>
              <c:showVal val="1"/>
              <c:showCatName val="0"/>
              <c:showSerName val="0"/>
              <c:showPercent val="0"/>
              <c:showBubbleSize val="0"/>
            </c:dLbl>
            <c:dLbl>
              <c:idx val="4"/>
              <c:layout>
                <c:manualLayout>
                  <c:x val="-4.1237113402061857E-3"/>
                  <c:y val="-3.1953522149600608E-2"/>
                </c:manualLayout>
              </c:layout>
              <c:dLblPos val="r"/>
              <c:showLegendKey val="0"/>
              <c:showVal val="1"/>
              <c:showCatName val="0"/>
              <c:showSerName val="0"/>
              <c:showPercent val="0"/>
              <c:showBubbleSize val="0"/>
            </c:dLbl>
            <c:spPr>
              <a:noFill/>
              <a:ln w="25400">
                <a:noFill/>
              </a:ln>
            </c:spPr>
            <c:txPr>
              <a:bodyPr/>
              <a:lstStyle/>
              <a:p>
                <a:pPr>
                  <a:defRPr sz="1000" b="1" i="1" u="none" strike="noStrike" baseline="0">
                    <a:solidFill>
                      <a:srgbClr val="993366"/>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наказания!$C$2:$G$2</c:f>
              <c:numCache>
                <c:formatCode>General</c:formatCode>
                <c:ptCount val="5"/>
                <c:pt idx="0">
                  <c:v>2013</c:v>
                </c:pt>
                <c:pt idx="1">
                  <c:v>2014</c:v>
                </c:pt>
                <c:pt idx="2">
                  <c:v>2015</c:v>
                </c:pt>
                <c:pt idx="3">
                  <c:v>2016</c:v>
                </c:pt>
                <c:pt idx="4">
                  <c:v>2017</c:v>
                </c:pt>
              </c:numCache>
            </c:numRef>
          </c:cat>
          <c:val>
            <c:numRef>
              <c:f>наказания!$C$6:$G$6</c:f>
              <c:numCache>
                <c:formatCode>General</c:formatCode>
                <c:ptCount val="5"/>
                <c:pt idx="0">
                  <c:v>5282</c:v>
                </c:pt>
                <c:pt idx="1">
                  <c:v>4960</c:v>
                </c:pt>
                <c:pt idx="2">
                  <c:v>4029</c:v>
                </c:pt>
                <c:pt idx="3">
                  <c:v>4428</c:v>
                </c:pt>
                <c:pt idx="4">
                  <c:v>5050</c:v>
                </c:pt>
              </c:numCache>
            </c:numRef>
          </c:val>
          <c:smooth val="0"/>
        </c:ser>
        <c:ser>
          <c:idx val="2"/>
          <c:order val="2"/>
          <c:tx>
            <c:strRef>
              <c:f>наказания!$B$7</c:f>
              <c:strCache>
                <c:ptCount val="1"/>
                <c:pt idx="0">
                  <c:v>исправительным работам</c:v>
                </c:pt>
              </c:strCache>
            </c:strRef>
          </c:tx>
          <c:spPr>
            <a:ln w="38100">
              <a:solidFill>
                <a:srgbClr val="FF6600"/>
              </a:solidFill>
              <a:prstDash val="solid"/>
            </a:ln>
          </c:spPr>
          <c:marker>
            <c:symbol val="triangle"/>
            <c:size val="6"/>
            <c:spPr>
              <a:solidFill>
                <a:srgbClr val="FF6600"/>
              </a:solidFill>
              <a:ln>
                <a:solidFill>
                  <a:srgbClr val="FF6600"/>
                </a:solidFill>
                <a:prstDash val="solid"/>
              </a:ln>
            </c:spPr>
          </c:marker>
          <c:dLbls>
            <c:dLbl>
              <c:idx val="0"/>
              <c:layout>
                <c:manualLayout>
                  <c:x val="-9.3828207524255511E-2"/>
                  <c:y val="7.457213596367758E-2"/>
                </c:manualLayout>
              </c:layout>
              <c:tx>
                <c:rich>
                  <a:bodyPr/>
                  <a:lstStyle/>
                  <a:p>
                    <a:r>
                      <a:rPr lang="ru-RU" sz="1000" baseline="0">
                        <a:latin typeface="Calibri" panose="020F0502020204030204" pitchFamily="34" charset="0"/>
                      </a:rPr>
                      <a:t>Исправительные</a:t>
                    </a:r>
                  </a:p>
                  <a:p>
                    <a:r>
                      <a:rPr lang="ru-RU" sz="1000" baseline="0">
                        <a:latin typeface="Calibri" panose="020F0502020204030204" pitchFamily="34" charset="0"/>
                      </a:rPr>
                      <a:t> работы</a:t>
                    </a:r>
                  </a:p>
                  <a:p>
                    <a:r>
                      <a:rPr lang="ru-RU" sz="1000" baseline="0">
                        <a:latin typeface="Calibri" panose="020F0502020204030204" pitchFamily="34" charset="0"/>
                      </a:rPr>
                      <a:t>1590</a:t>
                    </a:r>
                    <a:endParaRPr lang="ru-RU"/>
                  </a:p>
                </c:rich>
              </c:tx>
              <c:dLblPos val="r"/>
              <c:showLegendKey val="0"/>
              <c:showVal val="0"/>
              <c:showCatName val="0"/>
              <c:showSerName val="0"/>
              <c:showPercent val="0"/>
              <c:showBubbleSize val="0"/>
            </c:dLbl>
            <c:dLbl>
              <c:idx val="1"/>
              <c:layout>
                <c:manualLayout>
                  <c:x val="-4.6058312421281014E-2"/>
                  <c:y val="3.5010938195771425E-2"/>
                </c:manualLayout>
              </c:layout>
              <c:dLblPos val="r"/>
              <c:showLegendKey val="0"/>
              <c:showVal val="1"/>
              <c:showCatName val="0"/>
              <c:showSerName val="0"/>
              <c:showPercent val="0"/>
              <c:showBubbleSize val="0"/>
            </c:dLbl>
            <c:dLbl>
              <c:idx val="2"/>
              <c:layout>
                <c:manualLayout>
                  <c:x val="-4.7675266277251764E-2"/>
                  <c:y val="3.7725512392680856E-2"/>
                </c:manualLayout>
              </c:layout>
              <c:dLblPos val="r"/>
              <c:showLegendKey val="0"/>
              <c:showVal val="1"/>
              <c:showCatName val="0"/>
              <c:showSerName val="0"/>
              <c:showPercent val="0"/>
              <c:showBubbleSize val="0"/>
            </c:dLbl>
            <c:dLbl>
              <c:idx val="3"/>
              <c:layout>
                <c:manualLayout>
                  <c:x val="-5.2582190112833074E-3"/>
                  <c:y val="4.9792370724901218E-2"/>
                </c:manualLayout>
              </c:layout>
              <c:dLblPos val="r"/>
              <c:showLegendKey val="0"/>
              <c:showVal val="1"/>
              <c:showCatName val="0"/>
              <c:showSerName val="0"/>
              <c:showPercent val="0"/>
              <c:showBubbleSize val="0"/>
            </c:dLbl>
            <c:dLbl>
              <c:idx val="4"/>
              <c:layout>
                <c:manualLayout>
                  <c:x val="-1.7541980604007369E-3"/>
                  <c:y val="2.7792152127665136E-2"/>
                </c:manualLayout>
              </c:layout>
              <c:tx>
                <c:rich>
                  <a:bodyPr/>
                  <a:lstStyle/>
                  <a:p>
                    <a:r>
                      <a:rPr lang="ru-RU" sz="1000" baseline="0">
                        <a:latin typeface="Calibri" panose="020F0502020204030204" pitchFamily="34" charset="0"/>
                      </a:rPr>
                      <a:t>1324</a:t>
                    </a:r>
                    <a:endParaRPr lang="ru-RU"/>
                  </a:p>
                </c:rich>
              </c:tx>
              <c:dLblPos val="r"/>
              <c:showLegendKey val="0"/>
              <c:showVal val="0"/>
              <c:showCatName val="0"/>
              <c:showSerName val="0"/>
              <c:showPercent val="0"/>
              <c:showBubbleSize val="0"/>
            </c:dLbl>
            <c:spPr>
              <a:noFill/>
              <a:ln w="25400">
                <a:noFill/>
              </a:ln>
            </c:spPr>
            <c:txPr>
              <a:bodyPr/>
              <a:lstStyle/>
              <a:p>
                <a:pPr>
                  <a:defRPr sz="1000" b="1" i="0" u="none" strike="noStrike" baseline="0">
                    <a:solidFill>
                      <a:srgbClr val="FF660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наказания!$C$2:$G$2</c:f>
              <c:numCache>
                <c:formatCode>General</c:formatCode>
                <c:ptCount val="5"/>
                <c:pt idx="0">
                  <c:v>2013</c:v>
                </c:pt>
                <c:pt idx="1">
                  <c:v>2014</c:v>
                </c:pt>
                <c:pt idx="2">
                  <c:v>2015</c:v>
                </c:pt>
                <c:pt idx="3">
                  <c:v>2016</c:v>
                </c:pt>
                <c:pt idx="4">
                  <c:v>2017</c:v>
                </c:pt>
              </c:numCache>
            </c:numRef>
          </c:cat>
          <c:val>
            <c:numRef>
              <c:f>наказания!$C$7:$G$7</c:f>
              <c:numCache>
                <c:formatCode>General</c:formatCode>
                <c:ptCount val="5"/>
                <c:pt idx="0">
                  <c:v>1590</c:v>
                </c:pt>
                <c:pt idx="1">
                  <c:v>1592</c:v>
                </c:pt>
                <c:pt idx="2">
                  <c:v>1361</c:v>
                </c:pt>
                <c:pt idx="3">
                  <c:v>1088</c:v>
                </c:pt>
                <c:pt idx="4">
                  <c:v>1324</c:v>
                </c:pt>
              </c:numCache>
            </c:numRef>
          </c:val>
          <c:smooth val="0"/>
        </c:ser>
        <c:ser>
          <c:idx val="3"/>
          <c:order val="3"/>
          <c:tx>
            <c:strRef>
              <c:f>наказания!$B$8</c:f>
              <c:strCache>
                <c:ptCount val="1"/>
                <c:pt idx="0">
                  <c:v>штраф</c:v>
                </c:pt>
              </c:strCache>
            </c:strRef>
          </c:tx>
          <c:spPr>
            <a:ln w="38100">
              <a:solidFill>
                <a:srgbClr val="00FFFF"/>
              </a:solidFill>
              <a:prstDash val="solid"/>
            </a:ln>
          </c:spPr>
          <c:marker>
            <c:symbol val="circle"/>
            <c:size val="6"/>
            <c:spPr>
              <a:solidFill>
                <a:srgbClr val="008080"/>
              </a:solidFill>
              <a:ln>
                <a:solidFill>
                  <a:srgbClr val="008080"/>
                </a:solidFill>
                <a:prstDash val="solid"/>
              </a:ln>
            </c:spPr>
          </c:marker>
          <c:dLbls>
            <c:dLbl>
              <c:idx val="0"/>
              <c:layout>
                <c:manualLayout>
                  <c:x val="-5.7395040428544805E-2"/>
                  <c:y val="-5.9034333383120696E-2"/>
                </c:manualLayout>
              </c:layout>
              <c:tx>
                <c:rich>
                  <a:bodyPr/>
                  <a:lstStyle/>
                  <a:p>
                    <a:r>
                      <a:rPr lang="ru-RU" sz="1000" baseline="0">
                        <a:latin typeface="Calibri" panose="020F0502020204030204" pitchFamily="34" charset="0"/>
                      </a:rPr>
                      <a:t>Штраф
3089</a:t>
                    </a:r>
                    <a:endParaRPr lang="ru-RU"/>
                  </a:p>
                </c:rich>
              </c:tx>
              <c:dLblPos val="r"/>
              <c:showLegendKey val="0"/>
              <c:showVal val="0"/>
              <c:showCatName val="0"/>
              <c:showSerName val="0"/>
              <c:showPercent val="0"/>
              <c:showBubbleSize val="0"/>
            </c:dLbl>
            <c:dLbl>
              <c:idx val="1"/>
              <c:layout>
                <c:manualLayout>
                  <c:x val="-2.1420142102033531E-2"/>
                  <c:y val="-3.4112634667745924E-2"/>
                </c:manualLayout>
              </c:layout>
              <c:dLblPos val="r"/>
              <c:showLegendKey val="0"/>
              <c:showVal val="1"/>
              <c:showCatName val="0"/>
              <c:showSerName val="0"/>
              <c:showPercent val="0"/>
              <c:showBubbleSize val="0"/>
            </c:dLbl>
            <c:dLbl>
              <c:idx val="2"/>
              <c:layout>
                <c:manualLayout>
                  <c:x val="-3.421628834187207E-2"/>
                  <c:y val="-4.9179431412980826E-2"/>
                </c:manualLayout>
              </c:layout>
              <c:dLblPos val="r"/>
              <c:showLegendKey val="0"/>
              <c:showVal val="1"/>
              <c:showCatName val="0"/>
              <c:showSerName val="0"/>
              <c:showPercent val="0"/>
              <c:showBubbleSize val="0"/>
            </c:dLbl>
            <c:dLbl>
              <c:idx val="3"/>
              <c:layout>
                <c:manualLayout>
                  <c:x val="-3.082112705199935E-2"/>
                  <c:y val="4.3532251934190122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00808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наказания!$C$2:$G$2</c:f>
              <c:numCache>
                <c:formatCode>General</c:formatCode>
                <c:ptCount val="5"/>
                <c:pt idx="0">
                  <c:v>2013</c:v>
                </c:pt>
                <c:pt idx="1">
                  <c:v>2014</c:v>
                </c:pt>
                <c:pt idx="2">
                  <c:v>2015</c:v>
                </c:pt>
                <c:pt idx="3">
                  <c:v>2016</c:v>
                </c:pt>
                <c:pt idx="4">
                  <c:v>2017</c:v>
                </c:pt>
              </c:numCache>
            </c:numRef>
          </c:cat>
          <c:val>
            <c:numRef>
              <c:f>наказания!$C$8:$G$8</c:f>
              <c:numCache>
                <c:formatCode>General</c:formatCode>
                <c:ptCount val="5"/>
                <c:pt idx="0">
                  <c:v>3089</c:v>
                </c:pt>
                <c:pt idx="1">
                  <c:v>2556</c:v>
                </c:pt>
                <c:pt idx="2">
                  <c:v>2224</c:v>
                </c:pt>
                <c:pt idx="3">
                  <c:v>1883</c:v>
                </c:pt>
                <c:pt idx="4">
                  <c:v>1889</c:v>
                </c:pt>
              </c:numCache>
            </c:numRef>
          </c:val>
          <c:smooth val="1"/>
        </c:ser>
        <c:ser>
          <c:idx val="4"/>
          <c:order val="4"/>
          <c:tx>
            <c:strRef>
              <c:f>наказания!$B$9</c:f>
              <c:strCache>
                <c:ptCount val="1"/>
                <c:pt idx="0">
                  <c:v>обязательные работы</c:v>
                </c:pt>
              </c:strCache>
            </c:strRef>
          </c:tx>
          <c:spPr>
            <a:ln w="38100">
              <a:solidFill>
                <a:srgbClr val="800080"/>
              </a:solidFill>
              <a:prstDash val="solid"/>
            </a:ln>
          </c:spPr>
          <c:marker>
            <c:symbol val="star"/>
            <c:size val="7"/>
            <c:spPr>
              <a:noFill/>
              <a:ln>
                <a:solidFill>
                  <a:srgbClr val="800080"/>
                </a:solidFill>
                <a:prstDash val="solid"/>
              </a:ln>
            </c:spPr>
          </c:marker>
          <c:dLbls>
            <c:dLbl>
              <c:idx val="0"/>
              <c:layout>
                <c:manualLayout>
                  <c:x val="-0.12367631673070216"/>
                  <c:y val="-7.0903089969353461E-2"/>
                </c:manualLayout>
              </c:layout>
              <c:tx>
                <c:rich>
                  <a:bodyPr/>
                  <a:lstStyle/>
                  <a:p>
                    <a:r>
                      <a:rPr lang="ru-RU" sz="1000" baseline="0">
                        <a:latin typeface="Calibri" panose="020F0502020204030204" pitchFamily="34" charset="0"/>
                      </a:rPr>
                      <a:t>Обязательные 
работы 
1934</a:t>
                    </a:r>
                    <a:endParaRPr lang="ru-RU" sz="900" baseline="0"/>
                  </a:p>
                </c:rich>
              </c:tx>
              <c:dLblPos val="r"/>
              <c:showLegendKey val="0"/>
              <c:showVal val="0"/>
              <c:showCatName val="0"/>
              <c:showSerName val="0"/>
              <c:showPercent val="0"/>
              <c:showBubbleSize val="0"/>
            </c:dLbl>
            <c:dLbl>
              <c:idx val="1"/>
              <c:layout>
                <c:manualLayout>
                  <c:x val="-4.6772079505713458E-2"/>
                  <c:y val="-4.0879157640695017E-2"/>
                </c:manualLayout>
              </c:layout>
              <c:dLblPos val="r"/>
              <c:showLegendKey val="0"/>
              <c:showVal val="1"/>
              <c:showCatName val="0"/>
              <c:showSerName val="0"/>
              <c:showPercent val="0"/>
              <c:showBubbleSize val="0"/>
            </c:dLbl>
            <c:dLbl>
              <c:idx val="2"/>
              <c:layout>
                <c:manualLayout>
                  <c:x val="4.963962458930036E-3"/>
                  <c:y val="8.1989798318537095E-3"/>
                </c:manualLayout>
              </c:layout>
              <c:dLblPos val="r"/>
              <c:showLegendKey val="0"/>
              <c:showVal val="1"/>
              <c:showCatName val="0"/>
              <c:showSerName val="0"/>
              <c:showPercent val="0"/>
              <c:showBubbleSize val="0"/>
            </c:dLbl>
            <c:dLbl>
              <c:idx val="3"/>
              <c:layout>
                <c:manualLayout>
                  <c:x val="-2.7612496903093364E-2"/>
                  <c:y val="2.2084975182778261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80008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cat>
            <c:numRef>
              <c:f>наказания!$C$2:$G$2</c:f>
              <c:numCache>
                <c:formatCode>General</c:formatCode>
                <c:ptCount val="5"/>
                <c:pt idx="0">
                  <c:v>2013</c:v>
                </c:pt>
                <c:pt idx="1">
                  <c:v>2014</c:v>
                </c:pt>
                <c:pt idx="2">
                  <c:v>2015</c:v>
                </c:pt>
                <c:pt idx="3">
                  <c:v>2016</c:v>
                </c:pt>
                <c:pt idx="4">
                  <c:v>2017</c:v>
                </c:pt>
              </c:numCache>
            </c:numRef>
          </c:cat>
          <c:val>
            <c:numRef>
              <c:f>наказания!$C$9:$G$9</c:f>
              <c:numCache>
                <c:formatCode>General</c:formatCode>
                <c:ptCount val="5"/>
                <c:pt idx="0">
                  <c:v>1934</c:v>
                </c:pt>
                <c:pt idx="1">
                  <c:v>1694</c:v>
                </c:pt>
                <c:pt idx="2">
                  <c:v>1677</c:v>
                </c:pt>
                <c:pt idx="3">
                  <c:v>2719</c:v>
                </c:pt>
                <c:pt idx="4">
                  <c:v>2828</c:v>
                </c:pt>
              </c:numCache>
            </c:numRef>
          </c:val>
          <c:smooth val="0"/>
        </c:ser>
        <c:dLbls>
          <c:showLegendKey val="0"/>
          <c:showVal val="0"/>
          <c:showCatName val="0"/>
          <c:showSerName val="0"/>
          <c:showPercent val="0"/>
          <c:showBubbleSize val="0"/>
        </c:dLbls>
        <c:marker val="1"/>
        <c:smooth val="0"/>
        <c:axId val="303086592"/>
        <c:axId val="315253504"/>
      </c:lineChart>
      <c:catAx>
        <c:axId val="3030865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panose="020F0502020204030204" pitchFamily="34" charset="0"/>
                <a:ea typeface="Arial Cyr"/>
                <a:cs typeface="Arial Cyr"/>
              </a:defRPr>
            </a:pPr>
            <a:endParaRPr lang="ru-RU"/>
          </a:p>
        </c:txPr>
        <c:crossAx val="315253504"/>
        <c:crosses val="autoZero"/>
        <c:auto val="1"/>
        <c:lblAlgn val="ctr"/>
        <c:lblOffset val="100"/>
        <c:tickLblSkip val="1"/>
        <c:tickMarkSkip val="1"/>
        <c:noMultiLvlLbl val="0"/>
      </c:catAx>
      <c:valAx>
        <c:axId val="31525350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303086592"/>
        <c:crosses val="autoZero"/>
        <c:crossBetween val="between"/>
      </c:valAx>
      <c:spPr>
        <a:gradFill rotWithShape="0">
          <a:gsLst>
            <a:gs pos="0">
              <a:srgbClr val="99CCFF"/>
            </a:gs>
            <a:gs pos="100000">
              <a:srgbClr val="FFFFFF"/>
            </a:gs>
          </a:gsLst>
          <a:lin ang="2700000" scaled="1"/>
        </a:gradFill>
        <a:ln w="25400">
          <a:noFill/>
        </a:ln>
      </c:spPr>
    </c:plotArea>
    <c:plotVisOnly val="1"/>
    <c:dispBlanksAs val="gap"/>
    <c:showDLblsOverMax val="0"/>
  </c:chart>
  <c:spPr>
    <a:gradFill rotWithShape="0">
      <a:gsLst>
        <a:gs pos="0">
          <a:srgbClr val="99CCFF"/>
        </a:gs>
        <a:gs pos="100000">
          <a:srgbClr val="FFFFFF"/>
        </a:gs>
      </a:gsLst>
      <a:lin ang="2700000" scaled="1"/>
    </a:gra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ru-RU" sz="1100" b="1" i="0" u="none" strike="noStrike" baseline="0">
                <a:solidFill>
                  <a:srgbClr val="000000"/>
                </a:solidFill>
                <a:latin typeface="Times New Roman"/>
                <a:cs typeface="Times New Roman"/>
              </a:rPr>
              <a:t>Количество осужденных лиц по статье 158 УК РФ </a:t>
            </a:r>
          </a:p>
          <a:p>
            <a:pPr>
              <a:defRPr sz="1000" b="0" i="0" u="none" strike="noStrike" baseline="0">
                <a:solidFill>
                  <a:srgbClr val="000000"/>
                </a:solidFill>
                <a:latin typeface="Calibri"/>
                <a:ea typeface="Calibri"/>
                <a:cs typeface="Calibri"/>
              </a:defRPr>
            </a:pPr>
            <a:r>
              <a:rPr lang="ru-RU" sz="1100" b="1" i="0" u="none" strike="noStrike" baseline="0">
                <a:solidFill>
                  <a:srgbClr val="000000"/>
                </a:solidFill>
                <a:latin typeface="Times New Roman"/>
                <a:cs typeface="Times New Roman"/>
              </a:rPr>
              <a:t>за период с 2013 по 2017 гг.</a:t>
            </a:r>
          </a:p>
          <a:p>
            <a:pPr>
              <a:defRPr sz="1000" b="0" i="0" u="none" strike="noStrike" baseline="0">
                <a:solidFill>
                  <a:srgbClr val="000000"/>
                </a:solidFill>
                <a:latin typeface="Calibri"/>
                <a:ea typeface="Calibri"/>
                <a:cs typeface="Calibri"/>
              </a:defRPr>
            </a:pPr>
            <a:endParaRPr lang="ru-RU" sz="1100" b="1" i="0" u="none" strike="noStrike" baseline="0">
              <a:solidFill>
                <a:srgbClr val="000000"/>
              </a:solidFill>
              <a:latin typeface="Times New Roman"/>
              <a:cs typeface="Times New Roman"/>
            </a:endParaRPr>
          </a:p>
        </c:rich>
      </c:tx>
      <c:overlay val="0"/>
      <c:spPr>
        <a:noFill/>
        <a:ln w="25400">
          <a:noFill/>
        </a:ln>
      </c:spPr>
    </c:title>
    <c:autoTitleDeleted val="0"/>
    <c:plotArea>
      <c:layout>
        <c:manualLayout>
          <c:layoutTarget val="inner"/>
          <c:xMode val="edge"/>
          <c:yMode val="edge"/>
          <c:x val="0.11641221374045801"/>
          <c:y val="0.22727339983842282"/>
          <c:w val="0.84160305343511455"/>
          <c:h val="0.64545645554112085"/>
        </c:manualLayout>
      </c:layout>
      <c:barChart>
        <c:barDir val="col"/>
        <c:grouping val="clustered"/>
        <c:varyColors val="0"/>
        <c:ser>
          <c:idx val="0"/>
          <c:order val="0"/>
          <c:tx>
            <c:strRef>
              <c:f>'категории преступлений'!$A$2</c:f>
              <c:strCache>
                <c:ptCount val="1"/>
                <c:pt idx="0">
                  <c:v>Всего осуждено</c:v>
                </c:pt>
              </c:strCache>
            </c:strRef>
          </c:tx>
          <c:spPr>
            <a:gradFill rotWithShape="0">
              <a:gsLst>
                <a:gs pos="0">
                  <a:srgbClr val="993366"/>
                </a:gs>
                <a:gs pos="100000">
                  <a:srgbClr val="FFFFFF"/>
                </a:gs>
              </a:gsLst>
              <a:lin ang="0" scaled="1"/>
            </a:gradFill>
            <a:ln w="12700">
              <a:solidFill>
                <a:srgbClr val="000000"/>
              </a:solidFill>
              <a:prstDash val="solid"/>
            </a:ln>
          </c:spPr>
          <c:invertIfNegative val="0"/>
          <c:dLbls>
            <c:dLbl>
              <c:idx val="0"/>
              <c:layout>
                <c:manualLayout>
                  <c:x val="-1.2679958254292257E-4"/>
                  <c:y val="-7.650953769462971E-3"/>
                </c:manualLayout>
              </c:layout>
              <c:dLblPos val="outEnd"/>
              <c:showLegendKey val="0"/>
              <c:showVal val="1"/>
              <c:showCatName val="0"/>
              <c:showSerName val="0"/>
              <c:showPercent val="0"/>
              <c:showBubbleSize val="0"/>
            </c:dLbl>
            <c:dLbl>
              <c:idx val="1"/>
              <c:layout>
                <c:manualLayout>
                  <c:x val="-1.399402659786504E-3"/>
                  <c:y val="1.3533243346483346E-2"/>
                </c:manualLayout>
              </c:layout>
              <c:dLblPos val="outEnd"/>
              <c:showLegendKey val="0"/>
              <c:showVal val="1"/>
              <c:showCatName val="0"/>
              <c:showSerName val="0"/>
              <c:showPercent val="0"/>
              <c:showBubbleSize val="0"/>
            </c:dLbl>
            <c:dLbl>
              <c:idx val="2"/>
              <c:layout>
                <c:manualLayout>
                  <c:x val="-7.638022247016805E-4"/>
                  <c:y val="2.8827279107555828E-3"/>
                </c:manualLayout>
              </c:layout>
              <c:dLblPos val="outEnd"/>
              <c:showLegendKey val="0"/>
              <c:showVal val="1"/>
              <c:showCatName val="0"/>
              <c:showSerName val="0"/>
              <c:showPercent val="0"/>
              <c:showBubbleSize val="0"/>
            </c:dLbl>
            <c:dLbl>
              <c:idx val="3"/>
              <c:layout>
                <c:manualLayout>
                  <c:x val="6.2340123354159447E-3"/>
                  <c:y val="1.4477442384800674E-2"/>
                </c:manualLayout>
              </c:layout>
              <c:dLblPos val="outEnd"/>
              <c:showLegendKey val="0"/>
              <c:showVal val="1"/>
              <c:showCatName val="0"/>
              <c:showSerName val="0"/>
              <c:showPercent val="0"/>
              <c:showBubbleSize val="0"/>
            </c:dLbl>
            <c:dLbl>
              <c:idx val="4"/>
              <c:layout>
                <c:manualLayout>
                  <c:x val="1.1446016029230009E-3"/>
                  <c:y val="1.696699570698099E-2"/>
                </c:manualLayout>
              </c:layout>
              <c:dLblPos val="outEnd"/>
              <c:showLegendKey val="0"/>
              <c:showVal val="1"/>
              <c:showCatName val="0"/>
              <c:showSerName val="0"/>
              <c:showPercent val="0"/>
              <c:showBubbleSize val="0"/>
            </c:dLbl>
            <c:spPr>
              <a:noFill/>
              <a:ln w="25400">
                <a:noFill/>
              </a:ln>
            </c:spPr>
            <c:txPr>
              <a:bodyPr/>
              <a:lstStyle/>
              <a:p>
                <a:pPr>
                  <a:defRPr sz="1000" b="1" i="0" u="none" strike="noStrike" baseline="0">
                    <a:solidFill>
                      <a:srgbClr val="660066"/>
                    </a:solidFill>
                    <a:latin typeface="Calibri"/>
                    <a:ea typeface="Calibri"/>
                    <a:cs typeface="Calibri"/>
                  </a:defRPr>
                </a:pPr>
                <a:endParaRPr lang="ru-RU"/>
              </a:p>
            </c:txPr>
            <c:dLblPos val="outEnd"/>
            <c:showLegendKey val="0"/>
            <c:showVal val="1"/>
            <c:showCatName val="0"/>
            <c:showSerName val="0"/>
            <c:showPercent val="0"/>
            <c:showBubbleSize val="0"/>
            <c:showLeaderLines val="0"/>
          </c:dLbls>
          <c:cat>
            <c:numRef>
              <c:f>'категории преступлений'!$B$1:$F$1</c:f>
              <c:numCache>
                <c:formatCode>General</c:formatCode>
                <c:ptCount val="5"/>
                <c:pt idx="0">
                  <c:v>2013</c:v>
                </c:pt>
                <c:pt idx="1">
                  <c:v>2014</c:v>
                </c:pt>
                <c:pt idx="2">
                  <c:v>2015</c:v>
                </c:pt>
                <c:pt idx="3">
                  <c:v>2016</c:v>
                </c:pt>
                <c:pt idx="4">
                  <c:v>2017</c:v>
                </c:pt>
              </c:numCache>
            </c:numRef>
          </c:cat>
          <c:val>
            <c:numRef>
              <c:f>'категории преступлений'!$B$2:$F$2</c:f>
              <c:numCache>
                <c:formatCode>General</c:formatCode>
                <c:ptCount val="5"/>
                <c:pt idx="0">
                  <c:v>4831</c:v>
                </c:pt>
                <c:pt idx="1">
                  <c:v>4314</c:v>
                </c:pt>
                <c:pt idx="2">
                  <c:v>4892</c:v>
                </c:pt>
                <c:pt idx="3">
                  <c:v>6644</c:v>
                </c:pt>
                <c:pt idx="4">
                  <c:v>4118</c:v>
                </c:pt>
              </c:numCache>
            </c:numRef>
          </c:val>
        </c:ser>
        <c:dLbls>
          <c:showLegendKey val="0"/>
          <c:showVal val="0"/>
          <c:showCatName val="0"/>
          <c:showSerName val="0"/>
          <c:showPercent val="0"/>
          <c:showBubbleSize val="0"/>
        </c:dLbls>
        <c:gapWidth val="150"/>
        <c:axId val="316216064"/>
        <c:axId val="316217600"/>
      </c:barChart>
      <c:catAx>
        <c:axId val="316216064"/>
        <c:scaling>
          <c:orientation val="minMax"/>
        </c:scaling>
        <c:delete val="0"/>
        <c:axPos val="b"/>
        <c:numFmt formatCode="General" sourceLinked="1"/>
        <c:majorTickMark val="out"/>
        <c:minorTickMark val="none"/>
        <c:tickLblPos val="nextTo"/>
        <c:txPr>
          <a:bodyPr rot="0" vert="horz"/>
          <a:lstStyle/>
          <a:p>
            <a:pPr>
              <a:defRPr sz="1000" b="1" i="0" u="none" strike="noStrike" baseline="0">
                <a:solidFill>
                  <a:srgbClr val="000000"/>
                </a:solidFill>
                <a:latin typeface="Calibri"/>
                <a:ea typeface="Calibri"/>
                <a:cs typeface="Calibri"/>
              </a:defRPr>
            </a:pPr>
            <a:endParaRPr lang="ru-RU"/>
          </a:p>
        </c:txPr>
        <c:crossAx val="316217600"/>
        <c:crosses val="autoZero"/>
        <c:auto val="1"/>
        <c:lblAlgn val="ctr"/>
        <c:lblOffset val="100"/>
        <c:noMultiLvlLbl val="0"/>
      </c:catAx>
      <c:valAx>
        <c:axId val="316217600"/>
        <c:scaling>
          <c:orientation val="minMax"/>
        </c:scaling>
        <c:delete val="0"/>
        <c:axPos val="l"/>
        <c:numFmt formatCode="General" sourceLinked="1"/>
        <c:majorTickMark val="out"/>
        <c:minorTickMark val="none"/>
        <c:tickLblPos val="nextTo"/>
        <c:spPr>
          <a:ln>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ru-RU"/>
          </a:p>
        </c:txPr>
        <c:crossAx val="316216064"/>
        <c:crosses val="autoZero"/>
        <c:crossBetween val="between"/>
      </c:valAx>
      <c:spPr>
        <a:gradFill rotWithShape="0">
          <a:gsLst>
            <a:gs pos="0">
              <a:srgbClr val="FFFFCC"/>
            </a:gs>
            <a:gs pos="100000">
              <a:srgbClr val="FFFFCC">
                <a:gamma/>
                <a:shade val="46275"/>
                <a:invGamma/>
              </a:srgbClr>
            </a:gs>
          </a:gsLst>
          <a:lin ang="2700000" scaled="1"/>
        </a:gradFill>
        <a:ln w="25400">
          <a:noFill/>
        </a:ln>
        <a:effectLst>
          <a:outerShdw dist="35921" dir="2700000" algn="br">
            <a:srgbClr val="000000"/>
          </a:outerShdw>
        </a:effectLst>
      </c:spPr>
    </c:plotArea>
    <c:plotVisOnly val="1"/>
    <c:dispBlanksAs val="zero"/>
    <c:showDLblsOverMax val="0"/>
  </c:chart>
  <c:spPr>
    <a:gradFill rotWithShape="0">
      <a:gsLst>
        <a:gs pos="0">
          <a:srgbClr val="FFFFCC"/>
        </a:gs>
        <a:gs pos="100000">
          <a:srgbClr val="FFFFCC">
            <a:gamma/>
            <a:shade val="46275"/>
            <a:invGamma/>
          </a:srgbClr>
        </a:gs>
      </a:gsLst>
      <a:lin ang="2700000" scaled="1"/>
    </a:gra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ru-RU" sz="1100" b="1" i="0" u="none" strike="noStrike" baseline="0">
                <a:solidFill>
                  <a:srgbClr val="000000"/>
                </a:solidFill>
                <a:latin typeface="Times New Roman"/>
                <a:cs typeface="Times New Roman"/>
              </a:rPr>
              <a:t>Количество осужденных лиц за преступления, связаннм с незаконным ооборотом наркотических средств </a:t>
            </a:r>
          </a:p>
          <a:p>
            <a:pPr>
              <a:defRPr sz="1000" b="0" i="0" u="none" strike="noStrike" baseline="0">
                <a:solidFill>
                  <a:srgbClr val="000000"/>
                </a:solidFill>
                <a:latin typeface="Calibri"/>
                <a:ea typeface="Calibri"/>
                <a:cs typeface="Calibri"/>
              </a:defRPr>
            </a:pPr>
            <a:r>
              <a:rPr lang="ru-RU" sz="1100" b="1" i="0" u="none" strike="noStrike" baseline="0">
                <a:solidFill>
                  <a:srgbClr val="000000"/>
                </a:solidFill>
                <a:latin typeface="Times New Roman"/>
                <a:cs typeface="Times New Roman"/>
              </a:rPr>
              <a:t>за период с 2013 по 2017 гг.</a:t>
            </a:r>
          </a:p>
          <a:p>
            <a:pPr>
              <a:defRPr sz="1000" b="0" i="0" u="none" strike="noStrike" baseline="0">
                <a:solidFill>
                  <a:srgbClr val="000000"/>
                </a:solidFill>
                <a:latin typeface="Calibri"/>
                <a:ea typeface="Calibri"/>
                <a:cs typeface="Calibri"/>
              </a:defRPr>
            </a:pPr>
            <a:endParaRPr lang="ru-RU" sz="1100" b="1" i="0" u="none" strike="noStrike" baseline="0">
              <a:solidFill>
                <a:srgbClr val="000000"/>
              </a:solidFill>
              <a:latin typeface="Times New Roman"/>
              <a:cs typeface="Times New Roman"/>
            </a:endParaRPr>
          </a:p>
        </c:rich>
      </c:tx>
      <c:overlay val="0"/>
      <c:spPr>
        <a:noFill/>
        <a:ln w="25400">
          <a:noFill/>
        </a:ln>
      </c:spPr>
    </c:title>
    <c:autoTitleDeleted val="0"/>
    <c:plotArea>
      <c:layout>
        <c:manualLayout>
          <c:layoutTarget val="inner"/>
          <c:xMode val="edge"/>
          <c:yMode val="edge"/>
          <c:x val="0.11641221374045801"/>
          <c:y val="0.22727339983842282"/>
          <c:w val="0.84160305343511455"/>
          <c:h val="0.64545645554112085"/>
        </c:manualLayout>
      </c:layout>
      <c:barChart>
        <c:barDir val="bar"/>
        <c:grouping val="clustered"/>
        <c:varyColors val="0"/>
        <c:ser>
          <c:idx val="0"/>
          <c:order val="0"/>
          <c:spPr>
            <a:gradFill rotWithShape="0">
              <a:gsLst>
                <a:gs pos="0">
                  <a:srgbClr val="993366"/>
                </a:gs>
                <a:gs pos="100000">
                  <a:srgbClr val="FFFFFF"/>
                </a:gs>
              </a:gsLst>
              <a:lin ang="0" scaled="1"/>
            </a:gradFill>
            <a:ln w="12700">
              <a:solidFill>
                <a:srgbClr val="000000"/>
              </a:solidFill>
              <a:prstDash val="solid"/>
            </a:ln>
          </c:spPr>
          <c:invertIfNegative val="0"/>
          <c:dLbls>
            <c:dLbl>
              <c:idx val="0"/>
              <c:layout>
                <c:manualLayout>
                  <c:x val="2.4173027989822394E-3"/>
                  <c:y val="-2.3435888895458244E-2"/>
                </c:manualLayout>
              </c:layout>
              <c:dLblPos val="outEnd"/>
              <c:showLegendKey val="0"/>
              <c:showVal val="1"/>
              <c:showCatName val="0"/>
              <c:showSerName val="0"/>
              <c:showPercent val="0"/>
              <c:showBubbleSize val="0"/>
            </c:dLbl>
            <c:dLbl>
              <c:idx val="1"/>
              <c:layout>
                <c:manualLayout>
                  <c:x val="-1.3994910941474929E-3"/>
                  <c:y val="-1.2775213122494015E-2"/>
                </c:manualLayout>
              </c:layout>
              <c:dLblPos val="outEnd"/>
              <c:showLegendKey val="0"/>
              <c:showVal val="1"/>
              <c:showCatName val="0"/>
              <c:showSerName val="0"/>
              <c:showPercent val="0"/>
              <c:showBubbleSize val="0"/>
            </c:dLbl>
            <c:dLbl>
              <c:idx val="2"/>
              <c:layout>
                <c:manualLayout>
                  <c:x val="-3.3078880407124201E-3"/>
                  <c:y val="-3.9210581550958717E-2"/>
                </c:manualLayout>
              </c:layout>
              <c:dLblPos val="outEnd"/>
              <c:showLegendKey val="0"/>
              <c:showVal val="1"/>
              <c:showCatName val="0"/>
              <c:showSerName val="0"/>
              <c:showPercent val="0"/>
              <c:showBubbleSize val="0"/>
            </c:dLbl>
            <c:dLbl>
              <c:idx val="3"/>
              <c:layout>
                <c:manualLayout>
                  <c:x val="6.2340966921119291E-3"/>
                  <c:y val="-5.3925171089185729E-2"/>
                </c:manualLayout>
              </c:layout>
              <c:dLblPos val="outEnd"/>
              <c:showLegendKey val="0"/>
              <c:showVal val="1"/>
              <c:showCatName val="0"/>
              <c:showSerName val="0"/>
              <c:showPercent val="0"/>
              <c:showBubbleSize val="0"/>
            </c:dLbl>
            <c:dLbl>
              <c:idx val="4"/>
              <c:layout>
                <c:manualLayout>
                  <c:x val="1.0672845716683046E-3"/>
                  <c:y val="-1.2643904093486112E-2"/>
                </c:manualLayout>
              </c:layout>
              <c:dLblPos val="outEnd"/>
              <c:showLegendKey val="0"/>
              <c:showVal val="1"/>
              <c:showCatName val="0"/>
              <c:showSerName val="0"/>
              <c:showPercent val="0"/>
              <c:showBubbleSize val="0"/>
            </c:dLbl>
            <c:spPr>
              <a:noFill/>
              <a:ln w="25400">
                <a:noFill/>
              </a:ln>
            </c:spPr>
            <c:txPr>
              <a:bodyPr/>
              <a:lstStyle/>
              <a:p>
                <a:pPr>
                  <a:defRPr sz="1000" b="1" i="0" u="none" strike="noStrike" baseline="0">
                    <a:solidFill>
                      <a:srgbClr val="800080"/>
                    </a:solidFill>
                    <a:latin typeface="Calibri"/>
                    <a:ea typeface="Calibri"/>
                    <a:cs typeface="Calibri"/>
                  </a:defRPr>
                </a:pPr>
                <a:endParaRPr lang="ru-RU"/>
              </a:p>
            </c:txPr>
            <c:dLblPos val="outEnd"/>
            <c:showLegendKey val="0"/>
            <c:showVal val="1"/>
            <c:showCatName val="0"/>
            <c:showSerName val="0"/>
            <c:showPercent val="0"/>
            <c:showBubbleSize val="0"/>
            <c:showLeaderLines val="0"/>
          </c:dLbls>
          <c:cat>
            <c:numRef>
              <c:f>наркотики!$B$15:$F$15</c:f>
              <c:numCache>
                <c:formatCode>General</c:formatCode>
                <c:ptCount val="5"/>
                <c:pt idx="0">
                  <c:v>2013</c:v>
                </c:pt>
                <c:pt idx="1">
                  <c:v>2014</c:v>
                </c:pt>
                <c:pt idx="2">
                  <c:v>2015</c:v>
                </c:pt>
                <c:pt idx="3">
                  <c:v>2016</c:v>
                </c:pt>
                <c:pt idx="4">
                  <c:v>2017</c:v>
                </c:pt>
              </c:numCache>
            </c:numRef>
          </c:cat>
          <c:val>
            <c:numRef>
              <c:f>наркотики!$B$16:$F$16</c:f>
              <c:numCache>
                <c:formatCode>General</c:formatCode>
                <c:ptCount val="5"/>
                <c:pt idx="0">
                  <c:v>2088</c:v>
                </c:pt>
                <c:pt idx="1">
                  <c:v>2088</c:v>
                </c:pt>
                <c:pt idx="2">
                  <c:v>2096</c:v>
                </c:pt>
                <c:pt idx="3">
                  <c:v>1710</c:v>
                </c:pt>
                <c:pt idx="4">
                  <c:v>1893</c:v>
                </c:pt>
              </c:numCache>
            </c:numRef>
          </c:val>
        </c:ser>
        <c:dLbls>
          <c:showLegendKey val="0"/>
          <c:showVal val="0"/>
          <c:showCatName val="0"/>
          <c:showSerName val="0"/>
          <c:showPercent val="0"/>
          <c:showBubbleSize val="0"/>
        </c:dLbls>
        <c:gapWidth val="150"/>
        <c:axId val="336697600"/>
        <c:axId val="336707584"/>
      </c:barChart>
      <c:catAx>
        <c:axId val="336697600"/>
        <c:scaling>
          <c:orientation val="minMax"/>
        </c:scaling>
        <c:delete val="0"/>
        <c:axPos val="l"/>
        <c:numFmt formatCode="General" sourceLinked="1"/>
        <c:majorTickMark val="out"/>
        <c:minorTickMark val="none"/>
        <c:tickLblPos val="nextTo"/>
        <c:txPr>
          <a:bodyPr rot="0" vert="horz"/>
          <a:lstStyle/>
          <a:p>
            <a:pPr>
              <a:defRPr sz="1000" b="1" i="0" u="none" strike="noStrike" baseline="0">
                <a:solidFill>
                  <a:srgbClr val="000000"/>
                </a:solidFill>
                <a:latin typeface="Calibri"/>
                <a:ea typeface="Calibri"/>
                <a:cs typeface="Calibri"/>
              </a:defRPr>
            </a:pPr>
            <a:endParaRPr lang="ru-RU"/>
          </a:p>
        </c:txPr>
        <c:crossAx val="336707584"/>
        <c:crosses val="autoZero"/>
        <c:auto val="1"/>
        <c:lblAlgn val="ctr"/>
        <c:lblOffset val="100"/>
        <c:noMultiLvlLbl val="0"/>
      </c:catAx>
      <c:valAx>
        <c:axId val="336707584"/>
        <c:scaling>
          <c:orientation val="minMax"/>
        </c:scaling>
        <c:delete val="0"/>
        <c:axPos val="b"/>
        <c:numFmt formatCode="General" sourceLinked="1"/>
        <c:majorTickMark val="out"/>
        <c:minorTickMark val="none"/>
        <c:tickLblPos val="nextTo"/>
        <c:spPr>
          <a:ln>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ru-RU"/>
          </a:p>
        </c:txPr>
        <c:crossAx val="336697600"/>
        <c:crosses val="autoZero"/>
        <c:crossBetween val="between"/>
      </c:valAx>
      <c:spPr>
        <a:gradFill rotWithShape="0">
          <a:gsLst>
            <a:gs pos="0">
              <a:srgbClr val="FFFFCC"/>
            </a:gs>
            <a:gs pos="100000">
              <a:srgbClr val="FFFFCC">
                <a:gamma/>
                <a:shade val="46275"/>
                <a:invGamma/>
              </a:srgbClr>
            </a:gs>
          </a:gsLst>
          <a:lin ang="2700000" scaled="1"/>
        </a:gradFill>
        <a:ln w="25400">
          <a:noFill/>
        </a:ln>
        <a:effectLst>
          <a:outerShdw dist="35921" dir="2700000" algn="br">
            <a:srgbClr val="000000"/>
          </a:outerShdw>
        </a:effectLst>
      </c:spPr>
    </c:plotArea>
    <c:plotVisOnly val="1"/>
    <c:dispBlanksAs val="zero"/>
    <c:showDLblsOverMax val="0"/>
  </c:chart>
  <c:spPr>
    <a:gradFill rotWithShape="0">
      <a:gsLst>
        <a:gs pos="0">
          <a:srgbClr val="FFFFCC"/>
        </a:gs>
        <a:gs pos="100000">
          <a:srgbClr val="FFFFCC">
            <a:gamma/>
            <a:shade val="46275"/>
            <a:invGamma/>
          </a:srgbClr>
        </a:gs>
      </a:gsLst>
      <a:lin ang="2700000" scaled="1"/>
    </a:gra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100" b="1" i="0" baseline="0">
                <a:solidFill>
                  <a:sysClr val="windowText" lastClr="000000"/>
                </a:solidFill>
                <a:latin typeface="Times New Roman" panose="02020603050405020304" pitchFamily="18" charset="0"/>
                <a:cs typeface="Times New Roman" panose="02020603050405020304" pitchFamily="18" charset="0"/>
              </a:rPr>
              <a:t>Кол-во рассмотренных уголовных дел в апелляционном порядке</a:t>
            </a:r>
          </a:p>
        </c:rich>
      </c:tx>
      <c:overlay val="0"/>
      <c:spPr>
        <a:noFill/>
        <a:ln>
          <a:noFill/>
        </a:ln>
        <a:effectLst/>
      </c:spPr>
    </c:title>
    <c:autoTitleDeleted val="0"/>
    <c:plotArea>
      <c:layout>
        <c:manualLayout>
          <c:layoutTarget val="inner"/>
          <c:xMode val="edge"/>
          <c:yMode val="edge"/>
          <c:x val="9.7223478946374217E-2"/>
          <c:y val="0.18882586500283607"/>
          <c:w val="0.87437060147958856"/>
          <c:h val="0.62994066118859704"/>
        </c:manualLayout>
      </c:layout>
      <c:barChart>
        <c:barDir val="col"/>
        <c:grouping val="clustered"/>
        <c:varyColors val="0"/>
        <c:ser>
          <c:idx val="0"/>
          <c:order val="0"/>
          <c:tx>
            <c:strRef>
              <c:f>Лист1!$A$66</c:f>
              <c:strCache>
                <c:ptCount val="1"/>
                <c:pt idx="0">
                  <c:v>кол-во дел</c:v>
                </c:pt>
              </c:strCache>
            </c:strRef>
          </c:tx>
          <c:spPr>
            <a:gradFill flip="none" rotWithShape="1">
              <a:gsLst>
                <a:gs pos="16000">
                  <a:schemeClr val="accent1">
                    <a:lumMod val="75000"/>
                  </a:schemeClr>
                </a:gs>
                <a:gs pos="98000">
                  <a:schemeClr val="accent1">
                    <a:lumMod val="30000"/>
                    <a:lumOff val="70000"/>
                  </a:schemeClr>
                </a:gs>
              </a:gsLst>
              <a:lin ang="0" scaled="1"/>
              <a:tileRect/>
            </a:gradFill>
            <a:ln w="127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Лист1!$B$65:$F$65</c:f>
              <c:numCache>
                <c:formatCode>General</c:formatCode>
                <c:ptCount val="5"/>
                <c:pt idx="0">
                  <c:v>2013</c:v>
                </c:pt>
                <c:pt idx="1">
                  <c:v>2014</c:v>
                </c:pt>
                <c:pt idx="2">
                  <c:v>2015</c:v>
                </c:pt>
                <c:pt idx="3">
                  <c:v>2016</c:v>
                </c:pt>
                <c:pt idx="4">
                  <c:v>2017</c:v>
                </c:pt>
              </c:numCache>
            </c:numRef>
          </c:cat>
          <c:val>
            <c:numRef>
              <c:f>Лист1!$B$66:$F$66</c:f>
              <c:numCache>
                <c:formatCode>General</c:formatCode>
                <c:ptCount val="5"/>
                <c:pt idx="0">
                  <c:v>9452</c:v>
                </c:pt>
                <c:pt idx="1">
                  <c:v>8166</c:v>
                </c:pt>
                <c:pt idx="2">
                  <c:v>8169</c:v>
                </c:pt>
                <c:pt idx="3">
                  <c:v>8938</c:v>
                </c:pt>
                <c:pt idx="4">
                  <c:v>9138</c:v>
                </c:pt>
              </c:numCache>
            </c:numRef>
          </c:val>
        </c:ser>
        <c:ser>
          <c:idx val="1"/>
          <c:order val="1"/>
          <c:tx>
            <c:strRef>
              <c:f>Лист1!$A$67</c:f>
              <c:strCache>
                <c:ptCount val="1"/>
                <c:pt idx="0">
                  <c:v>кол-во лиц</c:v>
                </c:pt>
              </c:strCache>
            </c:strRef>
          </c:tx>
          <c:spPr>
            <a:gradFill>
              <a:gsLst>
                <a:gs pos="16000">
                  <a:schemeClr val="accent2">
                    <a:lumMod val="75000"/>
                  </a:schemeClr>
                </a:gs>
                <a:gs pos="98000">
                  <a:schemeClr val="accent2">
                    <a:lumMod val="20000"/>
                    <a:lumOff val="80000"/>
                  </a:schemeClr>
                </a:gs>
              </a:gsLst>
              <a:lin ang="0" scaled="1"/>
            </a:gradFill>
            <a:ln>
              <a:solidFill>
                <a:schemeClr val="tx1"/>
              </a:solidFill>
            </a:ln>
            <a:effectLst/>
          </c:spPr>
          <c:invertIfNegative val="0"/>
          <c:dLbls>
            <c:dLbl>
              <c:idx val="0"/>
              <c:layout>
                <c:manualLayout>
                  <c:x val="1.0329425299649942E-2"/>
                  <c:y val="1.700367565020092E-2"/>
                </c:manualLayout>
              </c:layout>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Лист1!$B$65:$F$65</c:f>
              <c:numCache>
                <c:formatCode>General</c:formatCode>
                <c:ptCount val="5"/>
                <c:pt idx="0">
                  <c:v>2013</c:v>
                </c:pt>
                <c:pt idx="1">
                  <c:v>2014</c:v>
                </c:pt>
                <c:pt idx="2">
                  <c:v>2015</c:v>
                </c:pt>
                <c:pt idx="3">
                  <c:v>2016</c:v>
                </c:pt>
                <c:pt idx="4">
                  <c:v>2017</c:v>
                </c:pt>
              </c:numCache>
            </c:numRef>
          </c:cat>
          <c:val>
            <c:numRef>
              <c:f>Лист1!$B$67:$F$67</c:f>
              <c:numCache>
                <c:formatCode>General</c:formatCode>
                <c:ptCount val="5"/>
                <c:pt idx="0">
                  <c:v>9676</c:v>
                </c:pt>
                <c:pt idx="1">
                  <c:v>8665</c:v>
                </c:pt>
                <c:pt idx="2">
                  <c:v>8738</c:v>
                </c:pt>
                <c:pt idx="3">
                  <c:v>9443</c:v>
                </c:pt>
                <c:pt idx="4">
                  <c:v>9698</c:v>
                </c:pt>
              </c:numCache>
            </c:numRef>
          </c:val>
        </c:ser>
        <c:dLbls>
          <c:showLegendKey val="0"/>
          <c:showVal val="0"/>
          <c:showCatName val="0"/>
          <c:showSerName val="0"/>
          <c:showPercent val="0"/>
          <c:showBubbleSize val="0"/>
        </c:dLbls>
        <c:gapWidth val="107"/>
        <c:overlap val="-27"/>
        <c:axId val="156785664"/>
        <c:axId val="156787456"/>
      </c:barChart>
      <c:catAx>
        <c:axId val="15678566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56787456"/>
        <c:crosses val="autoZero"/>
        <c:auto val="1"/>
        <c:lblAlgn val="ctr"/>
        <c:lblOffset val="100"/>
        <c:noMultiLvlLbl val="0"/>
      </c:catAx>
      <c:valAx>
        <c:axId val="156787456"/>
        <c:scaling>
          <c:orientation val="minMax"/>
        </c:scaling>
        <c:delete val="0"/>
        <c:axPos val="l"/>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56785664"/>
        <c:crosses val="autoZero"/>
        <c:crossBetween val="between"/>
      </c:valAx>
      <c:spPr>
        <a:noFill/>
        <a:ln>
          <a:noFill/>
        </a:ln>
        <a:effectLst/>
      </c:spPr>
    </c:plotArea>
    <c:legend>
      <c:legendPos val="b"/>
      <c:layout>
        <c:manualLayout>
          <c:xMode val="edge"/>
          <c:yMode val="edge"/>
          <c:x val="0.33943975881198596"/>
          <c:y val="0.90435370989857122"/>
          <c:w val="0.32628499169070935"/>
          <c:h val="9.5646344968429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accent4">
            <a:lumMod val="60000"/>
            <a:lumOff val="40000"/>
          </a:schemeClr>
        </a:gs>
        <a:gs pos="100000">
          <a:schemeClr val="accent1">
            <a:lumMod val="30000"/>
            <a:lumOff val="70000"/>
          </a:schemeClr>
        </a:gs>
      </a:gsLst>
      <a:lin ang="8100000" scaled="1"/>
      <a:tileRect/>
    </a:gra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i="0" u="none" strike="noStrike" baseline="0">
                <a:solidFill>
                  <a:srgbClr val="000000"/>
                </a:solidFill>
                <a:latin typeface="Times New Roman" panose="02020603050405020304" pitchFamily="18" charset="0"/>
                <a:ea typeface="Arial Cyr"/>
                <a:cs typeface="Arial Cyr"/>
              </a:defRPr>
            </a:pPr>
            <a:r>
              <a:rPr lang="ru-RU" sz="1100" b="1" i="0" u="none" strike="noStrike" baseline="0">
                <a:solidFill>
                  <a:srgbClr val="000000"/>
                </a:solidFill>
                <a:latin typeface="Times New Roman" panose="02020603050405020304" pitchFamily="18" charset="0"/>
                <a:cs typeface="Arial Cyr"/>
              </a:rPr>
              <a:t>Динамика привлечения к уголовной ответственности женщин и несовершеннолетних за преступления,  связанным с незаконным оборотом наркотических средств </a:t>
            </a:r>
          </a:p>
          <a:p>
            <a:pPr>
              <a:defRPr sz="1100" b="0" i="0" u="none" strike="noStrike" baseline="0">
                <a:solidFill>
                  <a:srgbClr val="000000"/>
                </a:solidFill>
                <a:latin typeface="Times New Roman" panose="02020603050405020304" pitchFamily="18" charset="0"/>
                <a:ea typeface="Arial Cyr"/>
                <a:cs typeface="Arial Cyr"/>
              </a:defRPr>
            </a:pPr>
            <a:r>
              <a:rPr lang="ru-RU" sz="1100" b="1" i="0" u="none" strike="noStrike" baseline="0">
                <a:solidFill>
                  <a:srgbClr val="000000"/>
                </a:solidFill>
                <a:latin typeface="Times New Roman" panose="02020603050405020304" pitchFamily="18" charset="0"/>
                <a:cs typeface="Arial Cyr"/>
              </a:rPr>
              <a:t>в период с 2013 по 2017 гг.</a:t>
            </a:r>
          </a:p>
        </c:rich>
      </c:tx>
      <c:layout>
        <c:manualLayout>
          <c:xMode val="edge"/>
          <c:yMode val="edge"/>
          <c:x val="0.11492772852212371"/>
          <c:y val="3.3040838115574539E-2"/>
        </c:manualLayout>
      </c:layout>
      <c:overlay val="0"/>
      <c:spPr>
        <a:noFill/>
        <a:ln w="25400">
          <a:noFill/>
        </a:ln>
      </c:spPr>
    </c:title>
    <c:autoTitleDeleted val="0"/>
    <c:plotArea>
      <c:layout>
        <c:manualLayout>
          <c:layoutTarget val="inner"/>
          <c:xMode val="edge"/>
          <c:yMode val="edge"/>
          <c:x val="7.9470198675496692E-2"/>
          <c:y val="0.26224227179935844"/>
          <c:w val="0.90298526330997619"/>
          <c:h val="0.64492599883347912"/>
        </c:manualLayout>
      </c:layout>
      <c:lineChart>
        <c:grouping val="standard"/>
        <c:varyColors val="0"/>
        <c:ser>
          <c:idx val="0"/>
          <c:order val="0"/>
          <c:tx>
            <c:strRef>
              <c:f>наркотики!$H$18</c:f>
              <c:strCache>
                <c:ptCount val="1"/>
                <c:pt idx="0">
                  <c:v>                               женщин</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dLbls>
            <c:dLbl>
              <c:idx val="0"/>
              <c:layout>
                <c:manualLayout>
                  <c:x val="-8.5312335958005248E-2"/>
                  <c:y val="-6.7175808532407968E-2"/>
                </c:manualLayout>
              </c:layout>
              <c:tx>
                <c:rich>
                  <a:bodyPr/>
                  <a:lstStyle/>
                  <a:p>
                    <a:r>
                      <a:rPr lang="ru-RU" sz="1000" baseline="0">
                        <a:latin typeface="Calibri" panose="020F0502020204030204" pitchFamily="34" charset="0"/>
                      </a:rPr>
                      <a:t>129</a:t>
                    </a:r>
                  </a:p>
                  <a:p>
                    <a:r>
                      <a:rPr lang="ru-RU" sz="1000" baseline="0">
                        <a:latin typeface="Calibri" panose="020F0502020204030204" pitchFamily="34" charset="0"/>
                      </a:rPr>
                      <a:t>женщены</a:t>
                    </a:r>
                    <a:endParaRPr lang="ru-RU"/>
                  </a:p>
                </c:rich>
              </c:tx>
              <c:dLblPos val="r"/>
              <c:showLegendKey val="0"/>
              <c:showVal val="0"/>
              <c:showCatName val="0"/>
              <c:showSerName val="0"/>
              <c:showPercent val="0"/>
              <c:showBubbleSize val="0"/>
            </c:dLbl>
            <c:dLbl>
              <c:idx val="1"/>
              <c:layout>
                <c:manualLayout>
                  <c:x val="-1.7659946267615016E-2"/>
                  <c:y val="-4.4979192792100171E-2"/>
                </c:manualLayout>
              </c:layout>
              <c:dLblPos val="r"/>
              <c:showLegendKey val="0"/>
              <c:showVal val="1"/>
              <c:showCatName val="0"/>
              <c:showSerName val="0"/>
              <c:showPercent val="0"/>
              <c:showBubbleSize val="0"/>
            </c:dLbl>
            <c:dLbl>
              <c:idx val="2"/>
              <c:layout>
                <c:manualLayout>
                  <c:x val="-2.5938135954344688E-2"/>
                  <c:y val="-5.4996591704995101E-2"/>
                </c:manualLayout>
              </c:layout>
              <c:dLblPos val="r"/>
              <c:showLegendKey val="0"/>
              <c:showVal val="1"/>
              <c:showCatName val="0"/>
              <c:showSerName val="0"/>
              <c:showPercent val="0"/>
              <c:showBubbleSize val="0"/>
            </c:dLbl>
            <c:dLbl>
              <c:idx val="3"/>
              <c:layout>
                <c:manualLayout>
                  <c:x val="-3.7527586596085079E-2"/>
                  <c:y val="-5.3484531590158466E-2"/>
                </c:manualLayout>
              </c:layout>
              <c:dLblPos val="r"/>
              <c:showLegendKey val="0"/>
              <c:showVal val="1"/>
              <c:showCatName val="0"/>
              <c:showSerName val="0"/>
              <c:showPercent val="0"/>
              <c:showBubbleSize val="0"/>
            </c:dLbl>
            <c:dLbl>
              <c:idx val="4"/>
              <c:layout>
                <c:manualLayout>
                  <c:x val="-1.2141280353200883E-2"/>
                  <c:y val="-4.7510793176996663E-2"/>
                </c:manualLayout>
              </c:layout>
              <c:dLblPos val="r"/>
              <c:showLegendKey val="0"/>
              <c:showVal val="1"/>
              <c:showCatName val="0"/>
              <c:showSerName val="0"/>
              <c:showPercent val="0"/>
              <c:showBubbleSize val="0"/>
            </c:dLbl>
            <c:spPr>
              <a:noFill/>
              <a:ln w="25400">
                <a:noFill/>
              </a:ln>
            </c:spPr>
            <c:txPr>
              <a:bodyPr/>
              <a:lstStyle/>
              <a:p>
                <a:pPr>
                  <a:defRPr sz="1000" b="1" i="0" u="none" strike="noStrike" baseline="0">
                    <a:solidFill>
                      <a:srgbClr val="000080"/>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trendline>
            <c:spPr>
              <a:ln>
                <a:solidFill>
                  <a:srgbClr val="7030A0"/>
                </a:solidFill>
              </a:ln>
            </c:spPr>
            <c:trendlineType val="log"/>
            <c:dispRSqr val="0"/>
            <c:dispEq val="0"/>
          </c:trendline>
          <c:cat>
            <c:numRef>
              <c:f>наркотики!$I$17:$M$17</c:f>
              <c:numCache>
                <c:formatCode>General</c:formatCode>
                <c:ptCount val="5"/>
                <c:pt idx="0">
                  <c:v>2013</c:v>
                </c:pt>
                <c:pt idx="1">
                  <c:v>2014</c:v>
                </c:pt>
                <c:pt idx="2">
                  <c:v>2015</c:v>
                </c:pt>
                <c:pt idx="3">
                  <c:v>2016</c:v>
                </c:pt>
                <c:pt idx="4">
                  <c:v>2017</c:v>
                </c:pt>
              </c:numCache>
            </c:numRef>
          </c:cat>
          <c:val>
            <c:numRef>
              <c:f>наркотики!$I$18:$M$18</c:f>
              <c:numCache>
                <c:formatCode>General</c:formatCode>
                <c:ptCount val="5"/>
                <c:pt idx="0">
                  <c:v>129</c:v>
                </c:pt>
                <c:pt idx="1">
                  <c:v>117</c:v>
                </c:pt>
                <c:pt idx="2">
                  <c:v>141</c:v>
                </c:pt>
                <c:pt idx="3">
                  <c:v>110</c:v>
                </c:pt>
                <c:pt idx="4">
                  <c:v>161</c:v>
                </c:pt>
              </c:numCache>
            </c:numRef>
          </c:val>
          <c:smooth val="1"/>
        </c:ser>
        <c:ser>
          <c:idx val="1"/>
          <c:order val="1"/>
          <c:tx>
            <c:strRef>
              <c:f>наркотики!$H$19</c:f>
              <c:strCache>
                <c:ptCount val="1"/>
                <c:pt idx="0">
                  <c:v>                               несовершеннолетних</c:v>
                </c:pt>
              </c:strCache>
            </c:strRef>
          </c:tx>
          <c:spPr>
            <a:ln w="38100">
              <a:solidFill>
                <a:srgbClr val="FF00FF"/>
              </a:solidFill>
              <a:prstDash val="solid"/>
            </a:ln>
          </c:spPr>
          <c:marker>
            <c:symbol val="square"/>
            <c:size val="6"/>
            <c:spPr>
              <a:solidFill>
                <a:srgbClr val="FF00FF"/>
              </a:solidFill>
              <a:ln>
                <a:solidFill>
                  <a:srgbClr val="FF00FF"/>
                </a:solidFill>
                <a:prstDash val="solid"/>
              </a:ln>
            </c:spPr>
          </c:marker>
          <c:dLbls>
            <c:dLbl>
              <c:idx val="0"/>
              <c:layout>
                <c:manualLayout>
                  <c:x val="-9.4478764957529909E-2"/>
                  <c:y val="9.0120112104630987E-2"/>
                </c:manualLayout>
              </c:layout>
              <c:tx>
                <c:rich>
                  <a:bodyPr/>
                  <a:lstStyle/>
                  <a:p>
                    <a:r>
                      <a:rPr lang="ru-RU" sz="1000" baseline="0">
                        <a:solidFill>
                          <a:srgbClr val="660066"/>
                        </a:solidFill>
                        <a:latin typeface="Calibri" panose="020F0502020204030204" pitchFamily="34" charset="0"/>
                      </a:rPr>
                      <a:t>несовершен</a:t>
                    </a:r>
                    <a:r>
                      <a:rPr lang="en-US" sz="1000" baseline="0">
                        <a:solidFill>
                          <a:srgbClr val="660066"/>
                        </a:solidFill>
                        <a:latin typeface="Calibri" panose="020F0502020204030204" pitchFamily="34" charset="0"/>
                      </a:rPr>
                      <a:t>-</a:t>
                    </a:r>
                    <a:r>
                      <a:rPr lang="ru-RU" sz="1000" baseline="0">
                        <a:solidFill>
                          <a:srgbClr val="660066"/>
                        </a:solidFill>
                        <a:latin typeface="Calibri" panose="020F0502020204030204" pitchFamily="34" charset="0"/>
                      </a:rPr>
                      <a:t>нолетние</a:t>
                    </a:r>
                  </a:p>
                  <a:p>
                    <a:r>
                      <a:rPr lang="ru-RU" sz="1000" baseline="0">
                        <a:solidFill>
                          <a:srgbClr val="660066"/>
                        </a:solidFill>
                        <a:latin typeface="Calibri" panose="020F0502020204030204" pitchFamily="34" charset="0"/>
                      </a:rPr>
                      <a:t>68</a:t>
                    </a:r>
                    <a:endParaRPr lang="ru-RU" baseline="0">
                      <a:solidFill>
                        <a:srgbClr val="660066"/>
                      </a:solidFill>
                    </a:endParaRPr>
                  </a:p>
                </c:rich>
              </c:tx>
              <c:dLblPos val="r"/>
              <c:showLegendKey val="0"/>
              <c:showVal val="0"/>
              <c:showCatName val="0"/>
              <c:showSerName val="0"/>
              <c:showPercent val="0"/>
              <c:showBubbleSize val="0"/>
            </c:dLbl>
            <c:dLbl>
              <c:idx val="1"/>
              <c:layout>
                <c:manualLayout>
                  <c:x val="-3.9183222958057394E-2"/>
                  <c:y val="-4.6403742015908141E-2"/>
                </c:manualLayout>
              </c:layout>
              <c:dLblPos val="r"/>
              <c:showLegendKey val="0"/>
              <c:showVal val="1"/>
              <c:showCatName val="0"/>
              <c:showSerName val="0"/>
              <c:showPercent val="0"/>
              <c:showBubbleSize val="0"/>
            </c:dLbl>
            <c:dLbl>
              <c:idx val="2"/>
              <c:layout>
                <c:manualLayout>
                  <c:x val="-4.1390728476821195E-2"/>
                  <c:y val="-5.0838122358888148E-2"/>
                </c:manualLayout>
              </c:layout>
              <c:dLblPos val="r"/>
              <c:showLegendKey val="0"/>
              <c:showVal val="1"/>
              <c:showCatName val="0"/>
              <c:showSerName val="0"/>
              <c:showPercent val="0"/>
              <c:showBubbleSize val="0"/>
            </c:dLbl>
            <c:dLbl>
              <c:idx val="3"/>
              <c:layout>
                <c:manualLayout>
                  <c:x val="-3.4216335540838853E-2"/>
                  <c:y val="4.8281840586920206E-2"/>
                </c:manualLayout>
              </c:layout>
              <c:dLblPos val="r"/>
              <c:showLegendKey val="0"/>
              <c:showVal val="1"/>
              <c:showCatName val="0"/>
              <c:showSerName val="0"/>
              <c:showPercent val="0"/>
              <c:showBubbleSize val="0"/>
            </c:dLbl>
            <c:spPr>
              <a:noFill/>
              <a:ln w="25400">
                <a:noFill/>
              </a:ln>
            </c:spPr>
            <c:txPr>
              <a:bodyPr/>
              <a:lstStyle/>
              <a:p>
                <a:pPr>
                  <a:defRPr sz="1000" b="1" i="1" u="none" strike="noStrike" baseline="0">
                    <a:solidFill>
                      <a:srgbClr val="660066"/>
                    </a:solidFill>
                    <a:latin typeface="Calibri" panose="020F0502020204030204" pitchFamily="34" charset="0"/>
                    <a:ea typeface="Arial Cyr"/>
                    <a:cs typeface="Arial Cyr"/>
                  </a:defRPr>
                </a:pPr>
                <a:endParaRPr lang="ru-RU"/>
              </a:p>
            </c:txPr>
            <c:showLegendKey val="0"/>
            <c:showVal val="1"/>
            <c:showCatName val="0"/>
            <c:showSerName val="0"/>
            <c:showPercent val="0"/>
            <c:showBubbleSize val="0"/>
            <c:showLeaderLines val="0"/>
          </c:dLbls>
          <c:trendline>
            <c:spPr>
              <a:ln>
                <a:solidFill>
                  <a:schemeClr val="accent5">
                    <a:lumMod val="75000"/>
                  </a:schemeClr>
                </a:solidFill>
              </a:ln>
            </c:spPr>
            <c:trendlineType val="log"/>
            <c:dispRSqr val="0"/>
            <c:dispEq val="0"/>
          </c:trendline>
          <c:cat>
            <c:numRef>
              <c:f>наркотики!$I$17:$M$17</c:f>
              <c:numCache>
                <c:formatCode>General</c:formatCode>
                <c:ptCount val="5"/>
                <c:pt idx="0">
                  <c:v>2013</c:v>
                </c:pt>
                <c:pt idx="1">
                  <c:v>2014</c:v>
                </c:pt>
                <c:pt idx="2">
                  <c:v>2015</c:v>
                </c:pt>
                <c:pt idx="3">
                  <c:v>2016</c:v>
                </c:pt>
                <c:pt idx="4">
                  <c:v>2017</c:v>
                </c:pt>
              </c:numCache>
            </c:numRef>
          </c:cat>
          <c:val>
            <c:numRef>
              <c:f>наркотики!$I$19:$M$19</c:f>
              <c:numCache>
                <c:formatCode>General</c:formatCode>
                <c:ptCount val="5"/>
                <c:pt idx="0">
                  <c:v>68</c:v>
                </c:pt>
                <c:pt idx="1">
                  <c:v>83</c:v>
                </c:pt>
                <c:pt idx="2">
                  <c:v>69</c:v>
                </c:pt>
                <c:pt idx="3">
                  <c:v>35</c:v>
                </c:pt>
                <c:pt idx="4">
                  <c:v>41</c:v>
                </c:pt>
              </c:numCache>
            </c:numRef>
          </c:val>
          <c:smooth val="0"/>
        </c:ser>
        <c:dLbls>
          <c:showLegendKey val="0"/>
          <c:showVal val="0"/>
          <c:showCatName val="0"/>
          <c:showSerName val="0"/>
          <c:showPercent val="0"/>
          <c:showBubbleSize val="0"/>
        </c:dLbls>
        <c:marker val="1"/>
        <c:smooth val="0"/>
        <c:axId val="349772416"/>
        <c:axId val="350749056"/>
      </c:lineChart>
      <c:catAx>
        <c:axId val="3497724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panose="020F0502020204030204" pitchFamily="34" charset="0"/>
                <a:ea typeface="Arial Cyr"/>
                <a:cs typeface="Arial Cyr"/>
              </a:defRPr>
            </a:pPr>
            <a:endParaRPr lang="ru-RU"/>
          </a:p>
        </c:txPr>
        <c:crossAx val="350749056"/>
        <c:crosses val="autoZero"/>
        <c:auto val="1"/>
        <c:lblAlgn val="ctr"/>
        <c:lblOffset val="100"/>
        <c:tickLblSkip val="1"/>
        <c:tickMarkSkip val="1"/>
        <c:noMultiLvlLbl val="0"/>
      </c:catAx>
      <c:valAx>
        <c:axId val="35074905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349772416"/>
        <c:crosses val="autoZero"/>
        <c:crossBetween val="between"/>
      </c:valAx>
      <c:spPr>
        <a:gradFill flip="none" rotWithShape="1">
          <a:gsLst>
            <a:gs pos="0">
              <a:srgbClr val="6699FF"/>
            </a:gs>
            <a:gs pos="100000">
              <a:srgbClr val="FFFFCC"/>
            </a:gs>
          </a:gsLst>
          <a:lin ang="18900000" scaled="1"/>
          <a:tileRect/>
        </a:gradFill>
        <a:ln w="25400">
          <a:noFill/>
        </a:ln>
      </c:spPr>
    </c:plotArea>
    <c:plotVisOnly val="1"/>
    <c:dispBlanksAs val="gap"/>
    <c:showDLblsOverMax val="0"/>
  </c:chart>
  <c:spPr>
    <a:gradFill flip="none" rotWithShape="1">
      <a:gsLst>
        <a:gs pos="0">
          <a:srgbClr val="6699FF"/>
        </a:gs>
        <a:gs pos="75000">
          <a:srgbClr val="FFFFCC"/>
        </a:gs>
      </a:gsLst>
      <a:lin ang="18900000" scaled="1"/>
      <a:tileRect/>
    </a:gra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ru-RU" sz="1100" b="1" i="0" u="none" strike="noStrike" baseline="0">
                <a:solidFill>
                  <a:srgbClr val="000000"/>
                </a:solidFill>
                <a:latin typeface="Times New Roman"/>
                <a:cs typeface="Times New Roman"/>
              </a:rPr>
              <a:t>Количество осужденных лиц по статье 264.1 УК РФ </a:t>
            </a:r>
          </a:p>
          <a:p>
            <a:pPr>
              <a:defRPr sz="1000" b="0" i="0" u="none" strike="noStrike" baseline="0">
                <a:solidFill>
                  <a:srgbClr val="000000"/>
                </a:solidFill>
                <a:latin typeface="Calibri"/>
                <a:ea typeface="Calibri"/>
                <a:cs typeface="Calibri"/>
              </a:defRPr>
            </a:pPr>
            <a:r>
              <a:rPr lang="ru-RU" sz="1100" b="1" i="0" u="none" strike="noStrike" baseline="0">
                <a:solidFill>
                  <a:srgbClr val="000000"/>
                </a:solidFill>
                <a:latin typeface="Times New Roman"/>
                <a:cs typeface="Times New Roman"/>
              </a:rPr>
              <a:t>за период с 2013 по 2017 гг.</a:t>
            </a:r>
          </a:p>
          <a:p>
            <a:pPr>
              <a:defRPr sz="1000" b="0" i="0" u="none" strike="noStrike" baseline="0">
                <a:solidFill>
                  <a:srgbClr val="000000"/>
                </a:solidFill>
                <a:latin typeface="Calibri"/>
                <a:ea typeface="Calibri"/>
                <a:cs typeface="Calibri"/>
              </a:defRPr>
            </a:pPr>
            <a:endParaRPr lang="ru-RU" sz="1100" b="1" i="0" u="none" strike="noStrike" baseline="0">
              <a:solidFill>
                <a:srgbClr val="000000"/>
              </a:solidFill>
              <a:latin typeface="Times New Roman"/>
              <a:cs typeface="Times New Roman"/>
            </a:endParaRPr>
          </a:p>
        </c:rich>
      </c:tx>
      <c:overlay val="0"/>
      <c:spPr>
        <a:noFill/>
        <a:ln w="25400">
          <a:noFill/>
        </a:ln>
      </c:spPr>
    </c:title>
    <c:autoTitleDeleted val="0"/>
    <c:plotArea>
      <c:layout>
        <c:manualLayout>
          <c:layoutTarget val="inner"/>
          <c:xMode val="edge"/>
          <c:yMode val="edge"/>
          <c:x val="0.12404580152671756"/>
          <c:y val="0.21919255547602004"/>
          <c:w val="0.84160305343511455"/>
          <c:h val="0.64545645554112085"/>
        </c:manualLayout>
      </c:layout>
      <c:barChart>
        <c:barDir val="col"/>
        <c:grouping val="clustered"/>
        <c:varyColors val="0"/>
        <c:ser>
          <c:idx val="0"/>
          <c:order val="0"/>
          <c:spPr>
            <a:gradFill rotWithShape="0">
              <a:gsLst>
                <a:gs pos="5000">
                  <a:srgbClr val="0070C0"/>
                </a:gs>
                <a:gs pos="100000">
                  <a:srgbClr val="FFFFFF"/>
                </a:gs>
              </a:gsLst>
              <a:lin ang="0" scaled="1"/>
            </a:gradFill>
            <a:ln w="12700">
              <a:solidFill>
                <a:srgbClr val="000000"/>
              </a:solidFill>
              <a:prstDash val="solid"/>
            </a:ln>
          </c:spPr>
          <c:invertIfNegative val="0"/>
          <c:dLbls>
            <c:dLbl>
              <c:idx val="0"/>
              <c:layout>
                <c:manualLayout>
                  <c:x val="1.5139949109414758E-2"/>
                  <c:y val="-1.9395530104191521E-2"/>
                </c:manualLayout>
              </c:layout>
              <c:dLblPos val="outEnd"/>
              <c:showLegendKey val="0"/>
              <c:showVal val="1"/>
              <c:showCatName val="0"/>
              <c:showSerName val="0"/>
              <c:showPercent val="0"/>
              <c:showBubbleSize val="0"/>
            </c:dLbl>
            <c:dLbl>
              <c:idx val="1"/>
              <c:layout>
                <c:manualLayout>
                  <c:x val="1.3867684478371502E-2"/>
                  <c:y val="-2.4896524298099101E-2"/>
                </c:manualLayout>
              </c:layout>
              <c:dLblPos val="outEnd"/>
              <c:showLegendKey val="0"/>
              <c:showVal val="1"/>
              <c:showCatName val="0"/>
              <c:showSerName val="0"/>
              <c:showPercent val="0"/>
              <c:showBubbleSize val="0"/>
            </c:dLbl>
            <c:dLbl>
              <c:idx val="2"/>
              <c:layout>
                <c:manualLayout>
                  <c:x val="-3.3042008120782113E-3"/>
                  <c:y val="-2.2454329299059283E-2"/>
                </c:manualLayout>
              </c:layout>
              <c:dLblPos val="outEnd"/>
              <c:showLegendKey val="0"/>
              <c:showVal val="1"/>
              <c:showCatName val="0"/>
              <c:showSerName val="0"/>
              <c:showPercent val="0"/>
              <c:showBubbleSize val="0"/>
            </c:dLbl>
            <c:dLbl>
              <c:idx val="3"/>
              <c:layout>
                <c:manualLayout>
                  <c:x val="1.1323222752612612E-2"/>
                  <c:y val="-1.1480314770143147E-2"/>
                </c:manualLayout>
              </c:layout>
              <c:dLblPos val="outEnd"/>
              <c:showLegendKey val="0"/>
              <c:showVal val="1"/>
              <c:showCatName val="0"/>
              <c:showSerName val="0"/>
              <c:showPercent val="0"/>
              <c:showBubbleSize val="0"/>
            </c:dLbl>
            <c:dLbl>
              <c:idx val="4"/>
              <c:layout>
                <c:manualLayout>
                  <c:x val="-3.9404021930518635E-3"/>
                  <c:y val="-1.2805680930624772E-2"/>
                </c:manualLayout>
              </c:layout>
              <c:dLblPos val="outEnd"/>
              <c:showLegendKey val="0"/>
              <c:showVal val="1"/>
              <c:showCatName val="0"/>
              <c:showSerName val="0"/>
              <c:showPercent val="0"/>
              <c:showBubbleSize val="0"/>
            </c:dLbl>
            <c:spPr>
              <a:noFill/>
              <a:ln w="25400">
                <a:noFill/>
              </a:ln>
            </c:spPr>
            <c:txPr>
              <a:bodyPr/>
              <a:lstStyle/>
              <a:p>
                <a:pPr>
                  <a:defRPr sz="1000" b="1" i="0" u="none" strike="noStrike" baseline="0">
                    <a:solidFill>
                      <a:srgbClr val="000080"/>
                    </a:solidFill>
                    <a:latin typeface="Calibri"/>
                    <a:ea typeface="Calibri"/>
                    <a:cs typeface="Calibri"/>
                  </a:defRPr>
                </a:pPr>
                <a:endParaRPr lang="ru-RU"/>
              </a:p>
            </c:txPr>
            <c:showLegendKey val="0"/>
            <c:showVal val="1"/>
            <c:showCatName val="0"/>
            <c:showSerName val="0"/>
            <c:showPercent val="0"/>
            <c:showBubbleSize val="0"/>
            <c:showLeaderLines val="0"/>
          </c:dLbls>
          <c:cat>
            <c:numRef>
              <c:f>'категории преступлений'!$B$24:$F$24</c:f>
              <c:numCache>
                <c:formatCode>General</c:formatCode>
                <c:ptCount val="5"/>
                <c:pt idx="0">
                  <c:v>2013</c:v>
                </c:pt>
                <c:pt idx="1">
                  <c:v>2014</c:v>
                </c:pt>
                <c:pt idx="2">
                  <c:v>2015</c:v>
                </c:pt>
                <c:pt idx="3">
                  <c:v>2016</c:v>
                </c:pt>
                <c:pt idx="4">
                  <c:v>2017</c:v>
                </c:pt>
              </c:numCache>
            </c:numRef>
          </c:cat>
          <c:val>
            <c:numRef>
              <c:f>'категории преступлений'!$B$25:$F$25</c:f>
              <c:numCache>
                <c:formatCode>General</c:formatCode>
                <c:ptCount val="5"/>
                <c:pt idx="0">
                  <c:v>0</c:v>
                </c:pt>
                <c:pt idx="1">
                  <c:v>0</c:v>
                </c:pt>
                <c:pt idx="2">
                  <c:v>310</c:v>
                </c:pt>
                <c:pt idx="3">
                  <c:v>1230</c:v>
                </c:pt>
                <c:pt idx="4">
                  <c:v>1375</c:v>
                </c:pt>
              </c:numCache>
            </c:numRef>
          </c:val>
        </c:ser>
        <c:dLbls>
          <c:showLegendKey val="0"/>
          <c:showVal val="0"/>
          <c:showCatName val="0"/>
          <c:showSerName val="0"/>
          <c:showPercent val="0"/>
          <c:showBubbleSize val="0"/>
        </c:dLbls>
        <c:gapWidth val="150"/>
        <c:axId val="350765824"/>
        <c:axId val="350767360"/>
      </c:barChart>
      <c:catAx>
        <c:axId val="350765824"/>
        <c:scaling>
          <c:orientation val="minMax"/>
        </c:scaling>
        <c:delete val="0"/>
        <c:axPos val="b"/>
        <c:numFmt formatCode="General" sourceLinked="1"/>
        <c:majorTickMark val="out"/>
        <c:minorTickMark val="none"/>
        <c:tickLblPos val="nextTo"/>
        <c:txPr>
          <a:bodyPr rot="0" vert="horz"/>
          <a:lstStyle/>
          <a:p>
            <a:pPr>
              <a:defRPr sz="1000" b="1" i="0" u="none" strike="noStrike" baseline="0">
                <a:solidFill>
                  <a:srgbClr val="000000"/>
                </a:solidFill>
                <a:latin typeface="Calibri"/>
                <a:ea typeface="Calibri"/>
                <a:cs typeface="Calibri"/>
              </a:defRPr>
            </a:pPr>
            <a:endParaRPr lang="ru-RU"/>
          </a:p>
        </c:txPr>
        <c:crossAx val="350767360"/>
        <c:crosses val="autoZero"/>
        <c:auto val="1"/>
        <c:lblAlgn val="ctr"/>
        <c:lblOffset val="100"/>
        <c:noMultiLvlLbl val="0"/>
      </c:catAx>
      <c:valAx>
        <c:axId val="350767360"/>
        <c:scaling>
          <c:orientation val="minMax"/>
        </c:scaling>
        <c:delete val="0"/>
        <c:axPos val="l"/>
        <c:numFmt formatCode="General" sourceLinked="1"/>
        <c:majorTickMark val="out"/>
        <c:minorTickMark val="none"/>
        <c:tickLblPos val="nextTo"/>
        <c:spPr>
          <a:ln>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ru-RU"/>
          </a:p>
        </c:txPr>
        <c:crossAx val="350765824"/>
        <c:crosses val="autoZero"/>
        <c:crossBetween val="between"/>
      </c:valAx>
      <c:spPr>
        <a:noFill/>
        <a:ln w="25400">
          <a:noFill/>
        </a:ln>
      </c:spPr>
    </c:plotArea>
    <c:plotVisOnly val="1"/>
    <c:dispBlanksAs val="zero"/>
    <c:showDLblsOverMax val="0"/>
  </c:chart>
  <c:spPr>
    <a:gradFill rotWithShape="0">
      <a:gsLst>
        <a:gs pos="0">
          <a:srgbClr val="F79646">
            <a:lumMod val="60000"/>
            <a:lumOff val="40000"/>
          </a:srgbClr>
        </a:gs>
        <a:gs pos="100000">
          <a:srgbClr val="FFFFCC">
            <a:gamma/>
            <a:shade val="46275"/>
            <a:invGamma/>
          </a:srgbClr>
        </a:gs>
      </a:gsLst>
      <a:lin ang="2700000" scaled="1"/>
    </a:gra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ru-RU" sz="1100">
                <a:latin typeface="Times New Roman" panose="02020603050405020304" pitchFamily="18" charset="0"/>
                <a:cs typeface="Times New Roman" panose="02020603050405020304" pitchFamily="18" charset="0"/>
              </a:rPr>
              <a:t>Кол-во  кассациаонных жалоб,</a:t>
            </a:r>
          </a:p>
          <a:p>
            <a:pPr>
              <a:defRPr sz="1200" baseline="0"/>
            </a:pPr>
            <a:r>
              <a:rPr lang="ru-RU" sz="1100">
                <a:latin typeface="Times New Roman" panose="02020603050405020304" pitchFamily="18" charset="0"/>
                <a:cs typeface="Times New Roman" panose="02020603050405020304" pitchFamily="18" charset="0"/>
              </a:rPr>
              <a:t> переданных на рассмотрение судьями Верховного Суда Российской Федерации</a:t>
            </a:r>
          </a:p>
        </c:rich>
      </c:tx>
      <c:layout>
        <c:manualLayout>
          <c:xMode val="edge"/>
          <c:yMode val="edge"/>
          <c:x val="0.17405621172353455"/>
          <c:y val="0"/>
        </c:manualLayout>
      </c:layout>
      <c:overlay val="0"/>
    </c:title>
    <c:autoTitleDeleted val="0"/>
    <c:plotArea>
      <c:layout>
        <c:manualLayout>
          <c:layoutTarget val="inner"/>
          <c:xMode val="edge"/>
          <c:yMode val="edge"/>
          <c:x val="9.257717038321002E-2"/>
          <c:y val="0.22689624240007975"/>
          <c:w val="0.87455784002913384"/>
          <c:h val="0.6577315907980148"/>
        </c:manualLayout>
      </c:layout>
      <c:barChart>
        <c:barDir val="col"/>
        <c:grouping val="clustered"/>
        <c:varyColors val="0"/>
        <c:ser>
          <c:idx val="0"/>
          <c:order val="0"/>
          <c:tx>
            <c:strRef>
              <c:f>Лист1!$A$117</c:f>
              <c:strCache>
                <c:ptCount val="1"/>
                <c:pt idx="0">
                  <c:v>Кол-во переданных кассациаонных жалоб судьями Верховного Суда Российской Федерацции</c:v>
                </c:pt>
              </c:strCache>
            </c:strRef>
          </c:tx>
          <c:spPr>
            <a:gradFill flip="none" rotWithShape="1">
              <a:gsLst>
                <a:gs pos="27000">
                  <a:srgbClr val="BA90E8"/>
                </a:gs>
                <a:gs pos="69000">
                  <a:srgbClr val="9B0390"/>
                </a:gs>
              </a:gsLst>
              <a:lin ang="10800000" scaled="0"/>
              <a:tileRect/>
            </a:gradFill>
            <a:ln w="12700">
              <a:gradFill>
                <a:gsLst>
                  <a:gs pos="0">
                    <a:srgbClr val="4F81BD">
                      <a:tint val="66000"/>
                      <a:satMod val="160000"/>
                    </a:srgbClr>
                  </a:gs>
                  <a:gs pos="68000">
                    <a:srgbClr val="BA90E8"/>
                  </a:gs>
                  <a:gs pos="0">
                    <a:srgbClr val="9E2E8E"/>
                  </a:gs>
                </a:gsLst>
                <a:lin ang="5400000" scaled="0"/>
              </a:gradFill>
            </a:ln>
          </c:spPr>
          <c:invertIfNegative val="0"/>
          <c:dLbls>
            <c:dLbl>
              <c:idx val="0"/>
              <c:layout>
                <c:manualLayout>
                  <c:x val="2.7628437972960244E-3"/>
                  <c:y val="1.150497273004402E-2"/>
                </c:manualLayout>
              </c:layout>
              <c:dLblPos val="outEnd"/>
              <c:showLegendKey val="0"/>
              <c:showVal val="1"/>
              <c:showCatName val="0"/>
              <c:showSerName val="0"/>
              <c:showPercent val="0"/>
              <c:showBubbleSize val="0"/>
            </c:dLbl>
            <c:dLbl>
              <c:idx val="2"/>
              <c:layout>
                <c:manualLayout>
                  <c:x val="0"/>
                  <c:y val="1.7257459095065951E-2"/>
                </c:manualLayout>
              </c:layout>
              <c:dLblPos val="outEnd"/>
              <c:showLegendKey val="0"/>
              <c:showVal val="1"/>
              <c:showCatName val="0"/>
              <c:showSerName val="0"/>
              <c:showPercent val="0"/>
              <c:showBubbleSize val="0"/>
            </c:dLbl>
            <c:dLbl>
              <c:idx val="3"/>
              <c:layout>
                <c:manualLayout>
                  <c:x val="0"/>
                  <c:y val="2.3009945460087937E-2"/>
                </c:manualLayout>
              </c:layout>
              <c:dLblPos val="outEnd"/>
              <c:showLegendKey val="0"/>
              <c:showVal val="1"/>
              <c:showCatName val="0"/>
              <c:showSerName val="0"/>
              <c:showPercent val="0"/>
              <c:showBubbleSize val="0"/>
            </c:dLbl>
            <c:dLbl>
              <c:idx val="4"/>
              <c:layout>
                <c:manualLayout>
                  <c:x val="0"/>
                  <c:y val="1.7257459095065979E-2"/>
                </c:manualLayout>
              </c:layout>
              <c:dLblPos val="outEnd"/>
              <c:showLegendKey val="0"/>
              <c:showVal val="1"/>
              <c:showCatName val="0"/>
              <c:showSerName val="0"/>
              <c:showPercent val="0"/>
              <c:showBubbleSize val="0"/>
            </c:dLbl>
            <c:txPr>
              <a:bodyPr/>
              <a:lstStyle/>
              <a:p>
                <a:pPr>
                  <a:defRPr b="1" i="0" baseline="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numRef>
              <c:f>Лист1!$B$116:$F$116</c:f>
              <c:numCache>
                <c:formatCode>General</c:formatCode>
                <c:ptCount val="5"/>
                <c:pt idx="0">
                  <c:v>2013</c:v>
                </c:pt>
                <c:pt idx="1">
                  <c:v>2014</c:v>
                </c:pt>
                <c:pt idx="2">
                  <c:v>2015</c:v>
                </c:pt>
                <c:pt idx="3">
                  <c:v>2016</c:v>
                </c:pt>
                <c:pt idx="4">
                  <c:v>2017</c:v>
                </c:pt>
              </c:numCache>
            </c:numRef>
          </c:cat>
          <c:val>
            <c:numRef>
              <c:f>Лист1!$B$117:$F$117</c:f>
              <c:numCache>
                <c:formatCode>General</c:formatCode>
                <c:ptCount val="5"/>
                <c:pt idx="0">
                  <c:v>60</c:v>
                </c:pt>
                <c:pt idx="1">
                  <c:v>56</c:v>
                </c:pt>
                <c:pt idx="2">
                  <c:v>80</c:v>
                </c:pt>
                <c:pt idx="3">
                  <c:v>105</c:v>
                </c:pt>
                <c:pt idx="4">
                  <c:v>103</c:v>
                </c:pt>
              </c:numCache>
            </c:numRef>
          </c:val>
        </c:ser>
        <c:dLbls>
          <c:dLblPos val="outEnd"/>
          <c:showLegendKey val="0"/>
          <c:showVal val="1"/>
          <c:showCatName val="0"/>
          <c:showSerName val="0"/>
          <c:showPercent val="0"/>
          <c:showBubbleSize val="0"/>
        </c:dLbls>
        <c:gapWidth val="96"/>
        <c:axId val="156803072"/>
        <c:axId val="156805760"/>
      </c:barChart>
      <c:catAx>
        <c:axId val="156803072"/>
        <c:scaling>
          <c:orientation val="minMax"/>
        </c:scaling>
        <c:delete val="0"/>
        <c:axPos val="b"/>
        <c:numFmt formatCode="General" sourceLinked="1"/>
        <c:majorTickMark val="out"/>
        <c:minorTickMark val="none"/>
        <c:tickLblPos val="nextTo"/>
        <c:spPr>
          <a:ln>
            <a:solidFill>
              <a:schemeClr val="tx1"/>
            </a:solidFill>
          </a:ln>
        </c:spPr>
        <c:txPr>
          <a:bodyPr/>
          <a:lstStyle/>
          <a:p>
            <a:pPr>
              <a:defRPr b="1" i="0" baseline="0"/>
            </a:pPr>
            <a:endParaRPr lang="ru-RU"/>
          </a:p>
        </c:txPr>
        <c:crossAx val="156805760"/>
        <c:crosses val="autoZero"/>
        <c:auto val="1"/>
        <c:lblAlgn val="ctr"/>
        <c:lblOffset val="100"/>
        <c:noMultiLvlLbl val="0"/>
      </c:catAx>
      <c:valAx>
        <c:axId val="156805760"/>
        <c:scaling>
          <c:orientation val="minMax"/>
        </c:scaling>
        <c:delete val="0"/>
        <c:axPos val="l"/>
        <c:numFmt formatCode="General" sourceLinked="1"/>
        <c:majorTickMark val="out"/>
        <c:minorTickMark val="none"/>
        <c:tickLblPos val="nextTo"/>
        <c:spPr>
          <a:ln>
            <a:solidFill>
              <a:schemeClr val="tx1"/>
            </a:solidFill>
          </a:ln>
        </c:spPr>
        <c:txPr>
          <a:bodyPr/>
          <a:lstStyle/>
          <a:p>
            <a:pPr>
              <a:defRPr b="1" i="0" baseline="0"/>
            </a:pPr>
            <a:endParaRPr lang="ru-RU"/>
          </a:p>
        </c:txPr>
        <c:crossAx val="156803072"/>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noFill/>
        </a:ln>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100"/>
              <a:t>Кол-во поступивших в первую инстанцию</a:t>
            </a:r>
          </a:p>
          <a:p>
            <a:pPr>
              <a:defRPr sz="1200">
                <a:latin typeface="Times New Roman" pitchFamily="18" charset="0"/>
                <a:cs typeface="Times New Roman" pitchFamily="18" charset="0"/>
              </a:defRPr>
            </a:pPr>
            <a:r>
              <a:rPr lang="ru-RU" sz="1100"/>
              <a:t> гражданских дел</a:t>
            </a:r>
          </a:p>
        </c:rich>
      </c:tx>
      <c:overlay val="0"/>
    </c:title>
    <c:autoTitleDeleted val="0"/>
    <c:plotArea>
      <c:layout>
        <c:manualLayout>
          <c:layoutTarget val="inner"/>
          <c:xMode val="edge"/>
          <c:yMode val="edge"/>
          <c:x val="8.1937943126921986E-2"/>
          <c:y val="0.13465909412958335"/>
          <c:w val="0.88897400377582503"/>
          <c:h val="0.74505524092031983"/>
        </c:manualLayout>
      </c:layout>
      <c:barChart>
        <c:barDir val="col"/>
        <c:grouping val="clustered"/>
        <c:varyColors val="0"/>
        <c:ser>
          <c:idx val="0"/>
          <c:order val="0"/>
          <c:tx>
            <c:strRef>
              <c:f>Лист1!$A$83</c:f>
              <c:strCache>
                <c:ptCount val="1"/>
                <c:pt idx="0">
                  <c:v>Кол-во поступивших в первую инстанцию гражданских дел</c:v>
                </c:pt>
              </c:strCache>
            </c:strRef>
          </c:tx>
          <c:spPr>
            <a:gradFill flip="none" rotWithShape="1">
              <a:gsLst>
                <a:gs pos="0">
                  <a:schemeClr val="accent1">
                    <a:lumMod val="5000"/>
                    <a:lumOff val="95000"/>
                  </a:schemeClr>
                </a:gs>
                <a:gs pos="74000">
                  <a:srgbClr val="FFCA21"/>
                </a:gs>
                <a:gs pos="100000">
                  <a:schemeClr val="accent4">
                    <a:lumMod val="60000"/>
                    <a:lumOff val="40000"/>
                  </a:schemeClr>
                </a:gs>
              </a:gsLst>
              <a:lin ang="10800000" scaled="1"/>
              <a:tileRect/>
            </a:gradFill>
            <a:ln w="12700">
              <a:solidFill>
                <a:srgbClr val="FFFF00"/>
              </a:solidFill>
            </a:ln>
          </c:spPr>
          <c:invertIfNegative val="0"/>
          <c:dLbls>
            <c:dLbl>
              <c:idx val="0"/>
              <c:layout>
                <c:manualLayout>
                  <c:x val="2.1154947707093068E-2"/>
                  <c:y val="5.9987010686662337E-3"/>
                </c:manualLayout>
              </c:layout>
              <c:dLblPos val="outEnd"/>
              <c:showLegendKey val="0"/>
              <c:showVal val="1"/>
              <c:showCatName val="0"/>
              <c:showSerName val="0"/>
              <c:showPercent val="0"/>
              <c:showBubbleSize val="0"/>
            </c:dLbl>
            <c:dLbl>
              <c:idx val="1"/>
              <c:layout>
                <c:manualLayout>
                  <c:x val="1.3221842316933182E-2"/>
                  <c:y val="5.9987010686662337E-3"/>
                </c:manualLayout>
              </c:layout>
              <c:dLblPos val="outEnd"/>
              <c:showLegendKey val="0"/>
              <c:showVal val="1"/>
              <c:showCatName val="0"/>
              <c:showSerName val="0"/>
              <c:showPercent val="0"/>
              <c:showBubbleSize val="0"/>
            </c:dLbl>
            <c:dLbl>
              <c:idx val="2"/>
              <c:layout>
                <c:manualLayout>
                  <c:x val="2.6443684633866366E-3"/>
                  <c:y val="1.1997402137332467E-2"/>
                </c:manualLayout>
              </c:layout>
              <c:dLblPos val="outEnd"/>
              <c:showLegendKey val="0"/>
              <c:showVal val="1"/>
              <c:showCatName val="0"/>
              <c:showSerName val="0"/>
              <c:showPercent val="0"/>
              <c:showBubbleSize val="0"/>
            </c:dLbl>
            <c:txPr>
              <a:bodyPr/>
              <a:lstStyle/>
              <a:p>
                <a:pPr>
                  <a:defRPr b="1" i="0" baseline="0"/>
                </a:pPr>
                <a:endParaRPr lang="ru-RU"/>
              </a:p>
            </c:txPr>
            <c:dLblPos val="outEnd"/>
            <c:showLegendKey val="0"/>
            <c:showVal val="1"/>
            <c:showCatName val="0"/>
            <c:showSerName val="0"/>
            <c:showPercent val="0"/>
            <c:showBubbleSize val="0"/>
            <c:showLeaderLines val="0"/>
          </c:dLbls>
          <c:cat>
            <c:numRef>
              <c:f>Лист1!$B$82:$F$82</c:f>
              <c:numCache>
                <c:formatCode>General</c:formatCode>
                <c:ptCount val="5"/>
                <c:pt idx="0">
                  <c:v>2013</c:v>
                </c:pt>
                <c:pt idx="1">
                  <c:v>2014</c:v>
                </c:pt>
                <c:pt idx="2">
                  <c:v>2015</c:v>
                </c:pt>
                <c:pt idx="3">
                  <c:v>2016</c:v>
                </c:pt>
                <c:pt idx="4">
                  <c:v>2017</c:v>
                </c:pt>
              </c:numCache>
            </c:numRef>
          </c:cat>
          <c:val>
            <c:numRef>
              <c:f>Лист1!$B$83:$F$83</c:f>
              <c:numCache>
                <c:formatCode>General</c:formatCode>
                <c:ptCount val="5"/>
                <c:pt idx="0">
                  <c:v>40</c:v>
                </c:pt>
                <c:pt idx="1">
                  <c:v>113</c:v>
                </c:pt>
                <c:pt idx="2">
                  <c:v>202</c:v>
                </c:pt>
                <c:pt idx="3">
                  <c:v>4</c:v>
                </c:pt>
                <c:pt idx="4">
                  <c:v>4</c:v>
                </c:pt>
              </c:numCache>
            </c:numRef>
          </c:val>
        </c:ser>
        <c:dLbls>
          <c:showLegendKey val="0"/>
          <c:showVal val="0"/>
          <c:showCatName val="0"/>
          <c:showSerName val="0"/>
          <c:showPercent val="0"/>
          <c:showBubbleSize val="0"/>
        </c:dLbls>
        <c:gapWidth val="100"/>
        <c:axId val="156928640"/>
        <c:axId val="156930432"/>
      </c:barChart>
      <c:catAx>
        <c:axId val="156928640"/>
        <c:scaling>
          <c:orientation val="minMax"/>
        </c:scaling>
        <c:delete val="0"/>
        <c:axPos val="b"/>
        <c:numFmt formatCode="General" sourceLinked="1"/>
        <c:majorTickMark val="out"/>
        <c:minorTickMark val="none"/>
        <c:tickLblPos val="nextTo"/>
        <c:txPr>
          <a:bodyPr/>
          <a:lstStyle/>
          <a:p>
            <a:pPr>
              <a:defRPr b="1" i="0" baseline="0"/>
            </a:pPr>
            <a:endParaRPr lang="ru-RU"/>
          </a:p>
        </c:txPr>
        <c:crossAx val="156930432"/>
        <c:crosses val="autoZero"/>
        <c:auto val="1"/>
        <c:lblAlgn val="ctr"/>
        <c:lblOffset val="100"/>
        <c:noMultiLvlLbl val="0"/>
      </c:catAx>
      <c:valAx>
        <c:axId val="156930432"/>
        <c:scaling>
          <c:orientation val="minMax"/>
        </c:scaling>
        <c:delete val="0"/>
        <c:axPos val="l"/>
        <c:numFmt formatCode="General" sourceLinked="1"/>
        <c:majorTickMark val="out"/>
        <c:minorTickMark val="none"/>
        <c:tickLblPos val="nextTo"/>
        <c:txPr>
          <a:bodyPr/>
          <a:lstStyle/>
          <a:p>
            <a:pPr>
              <a:defRPr b="1" i="0" baseline="0">
                <a:solidFill>
                  <a:sysClr val="windowText" lastClr="000000"/>
                </a:solidFill>
              </a:defRPr>
            </a:pPr>
            <a:endParaRPr lang="ru-RU"/>
          </a:p>
        </c:txPr>
        <c:crossAx val="156928640"/>
        <c:crosses val="autoZero"/>
        <c:crossBetween val="between"/>
      </c:valAx>
      <c:spPr>
        <a:gradFill>
          <a:gsLst>
            <a:gs pos="0">
              <a:srgbClr val="4F81BD">
                <a:lumMod val="5000"/>
                <a:lumOff val="95000"/>
              </a:srgbClr>
            </a:gs>
            <a:gs pos="100000">
              <a:srgbClr val="7030A0"/>
            </a:gs>
            <a:gs pos="100000">
              <a:srgbClr val="7030A0"/>
            </a:gs>
          </a:gsLst>
          <a:lin ang="18900000" scaled="1"/>
        </a:gradFill>
        <a:ln>
          <a:noFill/>
        </a:ln>
      </c:spPr>
    </c:plotArea>
    <c:plotVisOnly val="1"/>
    <c:dispBlanksAs val="gap"/>
    <c:showDLblsOverMax val="0"/>
  </c:chart>
  <c:spPr>
    <a:gradFill>
      <a:gsLst>
        <a:gs pos="0">
          <a:srgbClr val="4F81BD">
            <a:lumMod val="5000"/>
            <a:lumOff val="95000"/>
          </a:srgbClr>
        </a:gs>
        <a:gs pos="100000">
          <a:srgbClr val="7030A0"/>
        </a:gs>
        <a:gs pos="100000">
          <a:srgbClr val="7030A0"/>
        </a:gs>
      </a:gsLst>
      <a:lin ang="18900000" scaled="1"/>
    </a:gra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ru-RU" sz="1100">
                <a:latin typeface="Times New Roman" panose="02020603050405020304" pitchFamily="18" charset="0"/>
                <a:cs typeface="Times New Roman" panose="02020603050405020304" pitchFamily="18" charset="0"/>
              </a:rPr>
              <a:t>Кол-во поступивших ходатайств о признании и принудительном исполнении решений иностранных судов </a:t>
            </a:r>
          </a:p>
        </c:rich>
      </c:tx>
      <c:layout>
        <c:manualLayout>
          <c:xMode val="edge"/>
          <c:yMode val="edge"/>
          <c:x val="0.11296433427224759"/>
          <c:y val="0"/>
        </c:manualLayout>
      </c:layout>
      <c:overlay val="0"/>
    </c:title>
    <c:autoTitleDeleted val="0"/>
    <c:plotArea>
      <c:layout>
        <c:manualLayout>
          <c:layoutTarget val="inner"/>
          <c:xMode val="edge"/>
          <c:yMode val="edge"/>
          <c:x val="6.6296178484591115E-2"/>
          <c:y val="0.22528612494866712"/>
          <c:w val="0.89745603674540686"/>
          <c:h val="0.64480358322556619"/>
        </c:manualLayout>
      </c:layout>
      <c:barChart>
        <c:barDir val="col"/>
        <c:grouping val="clustered"/>
        <c:varyColors val="0"/>
        <c:ser>
          <c:idx val="0"/>
          <c:order val="0"/>
          <c:tx>
            <c:strRef>
              <c:f>Лист1!$A$102</c:f>
              <c:strCache>
                <c:ptCount val="1"/>
                <c:pt idx="0">
                  <c:v>Кол-во поступивших ходатайств о признании и принудительном исполнении решений иностранных судов </c:v>
                </c:pt>
              </c:strCache>
            </c:strRef>
          </c:tx>
          <c:spPr>
            <a:gradFill flip="none" rotWithShape="1">
              <a:gsLst>
                <a:gs pos="0">
                  <a:srgbClr val="9BBB59">
                    <a:lumMod val="40000"/>
                    <a:lumOff val="60000"/>
                  </a:srgbClr>
                </a:gs>
                <a:gs pos="32000">
                  <a:srgbClr val="9BBB59">
                    <a:lumMod val="60000"/>
                    <a:lumOff val="40000"/>
                  </a:srgbClr>
                </a:gs>
                <a:gs pos="65000">
                  <a:srgbClr val="9BBB59">
                    <a:lumMod val="75000"/>
                  </a:srgbClr>
                </a:gs>
              </a:gsLst>
              <a:lin ang="10800000" scaled="0"/>
              <a:tileRect/>
            </a:gradFill>
            <a:ln w="12700">
              <a:gradFill>
                <a:gsLst>
                  <a:gs pos="0">
                    <a:srgbClr val="9BBB59">
                      <a:lumMod val="40000"/>
                      <a:lumOff val="60000"/>
                    </a:srgbClr>
                  </a:gs>
                  <a:gs pos="50000">
                    <a:srgbClr val="9BBB59">
                      <a:lumMod val="40000"/>
                      <a:lumOff val="60000"/>
                    </a:srgbClr>
                  </a:gs>
                  <a:gs pos="100000">
                    <a:srgbClr val="9BBB59">
                      <a:lumMod val="50000"/>
                    </a:srgbClr>
                  </a:gs>
                </a:gsLst>
                <a:lin ang="10800000" scaled="0"/>
              </a:gradFill>
            </a:ln>
          </c:spPr>
          <c:invertIfNegative val="0"/>
          <c:dPt>
            <c:idx val="1"/>
            <c:invertIfNegative val="0"/>
            <c:bubble3D val="0"/>
            <c:spPr>
              <a:gradFill flip="none" rotWithShape="1">
                <a:gsLst>
                  <a:gs pos="0">
                    <a:srgbClr val="9BBB59">
                      <a:lumMod val="40000"/>
                      <a:lumOff val="60000"/>
                    </a:srgbClr>
                  </a:gs>
                  <a:gs pos="32000">
                    <a:srgbClr val="9BBB59">
                      <a:lumMod val="60000"/>
                      <a:lumOff val="40000"/>
                    </a:srgbClr>
                  </a:gs>
                  <a:gs pos="65000">
                    <a:srgbClr val="9BBB59">
                      <a:lumMod val="75000"/>
                    </a:srgbClr>
                  </a:gs>
                </a:gsLst>
                <a:lin ang="10800000" scaled="0"/>
                <a:tileRect/>
              </a:gradFill>
              <a:ln w="12700">
                <a:gradFill flip="none" rotWithShape="1">
                  <a:gsLst>
                    <a:gs pos="0">
                      <a:srgbClr val="9BBB59">
                        <a:lumMod val="40000"/>
                        <a:lumOff val="60000"/>
                      </a:srgbClr>
                    </a:gs>
                    <a:gs pos="50000">
                      <a:srgbClr val="9BBB59">
                        <a:lumMod val="40000"/>
                        <a:lumOff val="60000"/>
                      </a:srgbClr>
                    </a:gs>
                    <a:gs pos="100000">
                      <a:srgbClr val="9BBB59">
                        <a:lumMod val="50000"/>
                      </a:srgbClr>
                    </a:gs>
                  </a:gsLst>
                  <a:lin ang="10800000" scaled="0"/>
                  <a:tileRect/>
                </a:gradFill>
              </a:ln>
            </c:spPr>
          </c:dPt>
          <c:dLbls>
            <c:dLbl>
              <c:idx val="0"/>
              <c:layout>
                <c:manualLayout>
                  <c:x val="-2.7094321734190195E-3"/>
                  <c:y val="6.4775890719502623E-3"/>
                </c:manualLayout>
              </c:layout>
              <c:dLblPos val="outEnd"/>
              <c:showLegendKey val="0"/>
              <c:showVal val="1"/>
              <c:showCatName val="0"/>
              <c:showSerName val="0"/>
              <c:showPercent val="0"/>
              <c:showBubbleSize val="0"/>
            </c:dLbl>
            <c:dLbl>
              <c:idx val="1"/>
              <c:layout>
                <c:manualLayout>
                  <c:x val="-2.7094321734190195E-3"/>
                  <c:y val="1.2955178143900407E-2"/>
                </c:manualLayout>
              </c:layout>
              <c:dLblPos val="outEnd"/>
              <c:showLegendKey val="0"/>
              <c:showVal val="1"/>
              <c:showCatName val="0"/>
              <c:showSerName val="0"/>
              <c:showPercent val="0"/>
              <c:showBubbleSize val="0"/>
            </c:dLbl>
            <c:dLbl>
              <c:idx val="2"/>
              <c:layout>
                <c:manualLayout>
                  <c:x val="-8.1282965202570598E-3"/>
                  <c:y val="6.4775890719502034E-3"/>
                </c:manualLayout>
              </c:layout>
              <c:dLblPos val="outEnd"/>
              <c:showLegendKey val="0"/>
              <c:showVal val="1"/>
              <c:showCatName val="0"/>
              <c:showSerName val="0"/>
              <c:showPercent val="0"/>
              <c:showBubbleSize val="0"/>
            </c:dLbl>
            <c:dLbl>
              <c:idx val="3"/>
              <c:layout>
                <c:manualLayout>
                  <c:x val="0"/>
                  <c:y val="1.9432767215850608E-2"/>
                </c:manualLayout>
              </c:layout>
              <c:dLblPos val="outEnd"/>
              <c:showLegendKey val="0"/>
              <c:showVal val="1"/>
              <c:showCatName val="0"/>
              <c:showSerName val="0"/>
              <c:showPercent val="0"/>
              <c:showBubbleSize val="0"/>
            </c:dLbl>
            <c:dLbl>
              <c:idx val="4"/>
              <c:layout>
                <c:manualLayout>
                  <c:x val="0"/>
                  <c:y val="1.9432767215850608E-2"/>
                </c:manualLayout>
              </c:layout>
              <c:dLblPos val="outEnd"/>
              <c:showLegendKey val="0"/>
              <c:showVal val="1"/>
              <c:showCatName val="0"/>
              <c:showSerName val="0"/>
              <c:showPercent val="0"/>
              <c:showBubbleSize val="0"/>
            </c:dLbl>
            <c:txPr>
              <a:bodyPr/>
              <a:lstStyle/>
              <a:p>
                <a:pPr>
                  <a:defRPr b="1" i="0" baseline="0"/>
                </a:pPr>
                <a:endParaRPr lang="ru-RU"/>
              </a:p>
            </c:txPr>
            <c:dLblPos val="outEnd"/>
            <c:showLegendKey val="0"/>
            <c:showVal val="1"/>
            <c:showCatName val="0"/>
            <c:showSerName val="0"/>
            <c:showPercent val="0"/>
            <c:showBubbleSize val="0"/>
            <c:showLeaderLines val="0"/>
          </c:dLbls>
          <c:cat>
            <c:numRef>
              <c:f>Лист1!$B$101:$F$101</c:f>
              <c:numCache>
                <c:formatCode>General</c:formatCode>
                <c:ptCount val="5"/>
                <c:pt idx="0">
                  <c:v>2013</c:v>
                </c:pt>
                <c:pt idx="1">
                  <c:v>2014</c:v>
                </c:pt>
                <c:pt idx="2">
                  <c:v>2015</c:v>
                </c:pt>
                <c:pt idx="3">
                  <c:v>2016</c:v>
                </c:pt>
                <c:pt idx="4">
                  <c:v>2017</c:v>
                </c:pt>
              </c:numCache>
            </c:numRef>
          </c:cat>
          <c:val>
            <c:numRef>
              <c:f>Лист1!$B$102:$F$102</c:f>
              <c:numCache>
                <c:formatCode>General</c:formatCode>
                <c:ptCount val="5"/>
                <c:pt idx="0">
                  <c:v>13</c:v>
                </c:pt>
                <c:pt idx="1">
                  <c:v>23</c:v>
                </c:pt>
                <c:pt idx="2">
                  <c:v>17</c:v>
                </c:pt>
                <c:pt idx="3">
                  <c:v>20</c:v>
                </c:pt>
                <c:pt idx="4">
                  <c:v>16</c:v>
                </c:pt>
              </c:numCache>
            </c:numRef>
          </c:val>
        </c:ser>
        <c:dLbls>
          <c:dLblPos val="outEnd"/>
          <c:showLegendKey val="0"/>
          <c:showVal val="1"/>
          <c:showCatName val="0"/>
          <c:showSerName val="0"/>
          <c:showPercent val="0"/>
          <c:showBubbleSize val="0"/>
        </c:dLbls>
        <c:gapWidth val="150"/>
        <c:axId val="156937216"/>
        <c:axId val="156940544"/>
      </c:barChart>
      <c:catAx>
        <c:axId val="156937216"/>
        <c:scaling>
          <c:orientation val="minMax"/>
        </c:scaling>
        <c:delete val="0"/>
        <c:axPos val="b"/>
        <c:numFmt formatCode="General" sourceLinked="1"/>
        <c:majorTickMark val="out"/>
        <c:minorTickMark val="none"/>
        <c:tickLblPos val="nextTo"/>
        <c:spPr>
          <a:ln>
            <a:solidFill>
              <a:schemeClr val="tx1"/>
            </a:solidFill>
          </a:ln>
        </c:spPr>
        <c:txPr>
          <a:bodyPr/>
          <a:lstStyle/>
          <a:p>
            <a:pPr>
              <a:defRPr b="1" i="0" baseline="0"/>
            </a:pPr>
            <a:endParaRPr lang="ru-RU"/>
          </a:p>
        </c:txPr>
        <c:crossAx val="156940544"/>
        <c:crosses val="autoZero"/>
        <c:auto val="1"/>
        <c:lblAlgn val="ctr"/>
        <c:lblOffset val="100"/>
        <c:noMultiLvlLbl val="0"/>
      </c:catAx>
      <c:valAx>
        <c:axId val="156940544"/>
        <c:scaling>
          <c:orientation val="minMax"/>
        </c:scaling>
        <c:delete val="0"/>
        <c:axPos val="l"/>
        <c:numFmt formatCode="General" sourceLinked="1"/>
        <c:majorTickMark val="out"/>
        <c:minorTickMark val="none"/>
        <c:tickLblPos val="nextTo"/>
        <c:spPr>
          <a:ln>
            <a:solidFill>
              <a:schemeClr val="tx1"/>
            </a:solidFill>
          </a:ln>
        </c:spPr>
        <c:txPr>
          <a:bodyPr/>
          <a:lstStyle/>
          <a:p>
            <a:pPr>
              <a:defRPr b="1" i="0" baseline="0"/>
            </a:pPr>
            <a:endParaRPr lang="ru-RU"/>
          </a:p>
        </c:txPr>
        <c:crossAx val="156937216"/>
        <c:crosses val="autoZero"/>
        <c:crossBetween val="between"/>
      </c:valAx>
      <c:spPr>
        <a:gradFill flip="none" rotWithShape="1">
          <a:gsLst>
            <a:gs pos="0">
              <a:srgbClr val="F79646">
                <a:lumMod val="20000"/>
                <a:lumOff val="80000"/>
              </a:srgbClr>
            </a:gs>
            <a:gs pos="68000">
              <a:srgbClr val="F79646">
                <a:lumMod val="40000"/>
                <a:lumOff val="60000"/>
              </a:srgbClr>
            </a:gs>
            <a:gs pos="100000">
              <a:srgbClr val="F9B073"/>
            </a:gs>
          </a:gsLst>
          <a:lin ang="8100000" scaled="1"/>
          <a:tileRect/>
        </a:gradFill>
        <a:ln>
          <a:noFill/>
        </a:ln>
      </c:spPr>
    </c:plotArea>
    <c:plotVisOnly val="1"/>
    <c:dispBlanksAs val="gap"/>
    <c:showDLblsOverMax val="0"/>
  </c:chart>
  <c:spPr>
    <a:gradFill>
      <a:gsLst>
        <a:gs pos="0">
          <a:srgbClr val="F79646">
            <a:lumMod val="20000"/>
            <a:lumOff val="80000"/>
          </a:srgbClr>
        </a:gs>
        <a:gs pos="80000">
          <a:srgbClr val="F79646">
            <a:lumMod val="40000"/>
            <a:lumOff val="60000"/>
          </a:srgbClr>
        </a:gs>
        <a:gs pos="97000">
          <a:srgbClr val="F9B073"/>
        </a:gs>
      </a:gsLst>
      <a:lin ang="8400000" scaled="0"/>
    </a:grad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aseline="0">
                <a:latin typeface="Times New Roman" panose="02020603050405020304" pitchFamily="18" charset="0"/>
                <a:cs typeface="Times New Roman" panose="02020603050405020304" pitchFamily="18" charset="0"/>
              </a:rPr>
              <a:t>Рассмотрение гражданских дел в апелляционном порядке</a:t>
            </a:r>
          </a:p>
        </c:rich>
      </c:tx>
      <c:layout>
        <c:manualLayout>
          <c:xMode val="edge"/>
          <c:yMode val="edge"/>
          <c:x val="0.12642724261076568"/>
          <c:y val="0"/>
        </c:manualLayout>
      </c:layout>
      <c:overlay val="0"/>
    </c:title>
    <c:autoTitleDeleted val="0"/>
    <c:plotArea>
      <c:layout>
        <c:manualLayout>
          <c:layoutTarget val="inner"/>
          <c:xMode val="edge"/>
          <c:yMode val="edge"/>
          <c:x val="0.11213586031807374"/>
          <c:y val="9.0914608685919926E-2"/>
          <c:w val="0.85787095631450971"/>
          <c:h val="0.67142666488722813"/>
        </c:manualLayout>
      </c:layout>
      <c:barChart>
        <c:barDir val="col"/>
        <c:grouping val="clustered"/>
        <c:varyColors val="0"/>
        <c:ser>
          <c:idx val="0"/>
          <c:order val="0"/>
          <c:tx>
            <c:strRef>
              <c:f>Лист1!$A$133</c:f>
              <c:strCache>
                <c:ptCount val="1"/>
                <c:pt idx="0">
                  <c:v>кол-во поступивших гражданских дел</c:v>
                </c:pt>
              </c:strCache>
            </c:strRef>
          </c:tx>
          <c:spPr>
            <a:gradFill flip="none" rotWithShape="1">
              <a:gsLst>
                <a:gs pos="17000">
                  <a:srgbClr val="474AC1"/>
                </a:gs>
                <a:gs pos="100000">
                  <a:srgbClr val="4F81BD">
                    <a:lumMod val="20000"/>
                    <a:lumOff val="80000"/>
                  </a:srgbClr>
                </a:gs>
              </a:gsLst>
              <a:lin ang="0" scaled="1"/>
              <a:tileRect/>
            </a:gradFill>
            <a:ln>
              <a:gradFill flip="none" rotWithShape="1">
                <a:gsLst>
                  <a:gs pos="0">
                    <a:srgbClr val="474AC1"/>
                  </a:gs>
                  <a:gs pos="69000">
                    <a:srgbClr val="4F81BD">
                      <a:tint val="44500"/>
                      <a:satMod val="160000"/>
                    </a:srgbClr>
                  </a:gs>
                  <a:gs pos="100000">
                    <a:srgbClr val="4F81BD">
                      <a:tint val="23500"/>
                      <a:satMod val="160000"/>
                    </a:srgbClr>
                  </a:gs>
                </a:gsLst>
                <a:lin ang="0" scaled="1"/>
                <a:tileRect/>
              </a:gradFill>
            </a:ln>
          </c:spPr>
          <c:invertIfNegative val="0"/>
          <c:dLbls>
            <c:dLbl>
              <c:idx val="0"/>
              <c:layout>
                <c:manualLayout>
                  <c:x val="-2.6085731269315251E-3"/>
                  <c:y val="-2.7334518546578424E-2"/>
                </c:manualLayout>
              </c:layout>
              <c:dLblPos val="outEnd"/>
              <c:showLegendKey val="0"/>
              <c:showVal val="1"/>
              <c:showCatName val="0"/>
              <c:showSerName val="0"/>
              <c:showPercent val="0"/>
              <c:showBubbleSize val="0"/>
            </c:dLbl>
            <c:dLbl>
              <c:idx val="1"/>
              <c:layout>
                <c:manualLayout>
                  <c:x val="-7.8257193807945748E-3"/>
                  <c:y val="-3.8268325965209828E-2"/>
                </c:manualLayout>
              </c:layout>
              <c:dLblPos val="outEnd"/>
              <c:showLegendKey val="0"/>
              <c:showVal val="1"/>
              <c:showCatName val="0"/>
              <c:showSerName val="0"/>
              <c:showPercent val="0"/>
              <c:showBubbleSize val="0"/>
            </c:dLbl>
            <c:dLbl>
              <c:idx val="2"/>
              <c:layout>
                <c:manualLayout>
                  <c:x val="-2.6085731269315251E-3"/>
                  <c:y val="-2.186761483726276E-2"/>
                </c:manualLayout>
              </c:layout>
              <c:dLblPos val="outEnd"/>
              <c:showLegendKey val="0"/>
              <c:showVal val="1"/>
              <c:showCatName val="0"/>
              <c:showSerName val="0"/>
              <c:showPercent val="0"/>
              <c:showBubbleSize val="0"/>
            </c:dLbl>
            <c:dLbl>
              <c:idx val="3"/>
              <c:layout>
                <c:manualLayout>
                  <c:x val="-2.6085731269315251E-3"/>
                  <c:y val="-3.8268325965209828E-2"/>
                </c:manualLayout>
              </c:layout>
              <c:dLblPos val="outEnd"/>
              <c:showLegendKey val="0"/>
              <c:showVal val="1"/>
              <c:showCatName val="0"/>
              <c:showSerName val="0"/>
              <c:showPercent val="0"/>
              <c:showBubbleSize val="0"/>
            </c:dLbl>
            <c:dLbl>
              <c:idx val="4"/>
              <c:layout>
                <c:manualLayout>
                  <c:x val="0"/>
                  <c:y val="-4.3735229674525519E-2"/>
                </c:manualLayout>
              </c:layout>
              <c:dLblPos val="outEnd"/>
              <c:showLegendKey val="0"/>
              <c:showVal val="1"/>
              <c:showCatName val="0"/>
              <c:showSerName val="0"/>
              <c:showPercent val="0"/>
              <c:showBubbleSize val="0"/>
            </c:dLbl>
            <c:txPr>
              <a:bodyPr/>
              <a:lstStyle/>
              <a:p>
                <a:pPr>
                  <a:defRPr b="1" i="0" baseline="0"/>
                </a:pPr>
                <a:endParaRPr lang="ru-RU"/>
              </a:p>
            </c:txPr>
            <c:dLblPos val="outEnd"/>
            <c:showLegendKey val="0"/>
            <c:showVal val="1"/>
            <c:showCatName val="0"/>
            <c:showSerName val="0"/>
            <c:showPercent val="0"/>
            <c:showBubbleSize val="0"/>
            <c:showLeaderLines val="0"/>
          </c:dLbls>
          <c:cat>
            <c:numRef>
              <c:f>Лист1!$B$132:$F$132</c:f>
              <c:numCache>
                <c:formatCode>General</c:formatCode>
                <c:ptCount val="5"/>
                <c:pt idx="0">
                  <c:v>2013</c:v>
                </c:pt>
                <c:pt idx="1">
                  <c:v>2014</c:v>
                </c:pt>
                <c:pt idx="2">
                  <c:v>2015</c:v>
                </c:pt>
                <c:pt idx="3">
                  <c:v>2016</c:v>
                </c:pt>
                <c:pt idx="4">
                  <c:v>2017</c:v>
                </c:pt>
              </c:numCache>
            </c:numRef>
          </c:cat>
          <c:val>
            <c:numRef>
              <c:f>Лист1!$B$133:$F$133</c:f>
              <c:numCache>
                <c:formatCode>General</c:formatCode>
                <c:ptCount val="5"/>
                <c:pt idx="0">
                  <c:v>16027</c:v>
                </c:pt>
                <c:pt idx="1">
                  <c:v>17284</c:v>
                </c:pt>
                <c:pt idx="2">
                  <c:v>19398</c:v>
                </c:pt>
                <c:pt idx="3">
                  <c:v>18913</c:v>
                </c:pt>
                <c:pt idx="4">
                  <c:v>17866</c:v>
                </c:pt>
              </c:numCache>
            </c:numRef>
          </c:val>
        </c:ser>
        <c:ser>
          <c:idx val="1"/>
          <c:order val="1"/>
          <c:tx>
            <c:strRef>
              <c:f>Лист1!$A$134</c:f>
              <c:strCache>
                <c:ptCount val="1"/>
                <c:pt idx="0">
                  <c:v>кол-во гражданских дел оконченных производством</c:v>
                </c:pt>
              </c:strCache>
            </c:strRef>
          </c:tx>
          <c:spPr>
            <a:gradFill>
              <a:gsLst>
                <a:gs pos="17000">
                  <a:srgbClr val="A23092"/>
                </a:gs>
                <a:gs pos="100000">
                  <a:srgbClr val="4F81BD">
                    <a:lumMod val="20000"/>
                    <a:lumOff val="80000"/>
                  </a:srgbClr>
                </a:gs>
              </a:gsLst>
              <a:lin ang="0" scaled="1"/>
            </a:gradFill>
            <a:ln>
              <a:gradFill flip="none" rotWithShape="1">
                <a:gsLst>
                  <a:gs pos="40000">
                    <a:srgbClr val="7D2570"/>
                  </a:gs>
                  <a:gs pos="90000">
                    <a:srgbClr val="4F81BD">
                      <a:tint val="44500"/>
                      <a:satMod val="160000"/>
                    </a:srgbClr>
                  </a:gs>
                  <a:gs pos="100000">
                    <a:srgbClr val="4F81BD">
                      <a:tint val="23500"/>
                      <a:satMod val="160000"/>
                    </a:srgbClr>
                  </a:gs>
                </a:gsLst>
                <a:lin ang="0" scaled="1"/>
                <a:tileRect/>
              </a:gradFill>
            </a:ln>
          </c:spPr>
          <c:invertIfNegative val="0"/>
          <c:dLbls>
            <c:txPr>
              <a:bodyPr/>
              <a:lstStyle/>
              <a:p>
                <a:pPr>
                  <a:defRPr b="1" i="0" baseline="0"/>
                </a:pPr>
                <a:endParaRPr lang="ru-RU"/>
              </a:p>
            </c:txPr>
            <c:dLblPos val="outEnd"/>
            <c:showLegendKey val="0"/>
            <c:showVal val="1"/>
            <c:showCatName val="0"/>
            <c:showSerName val="0"/>
            <c:showPercent val="0"/>
            <c:showBubbleSize val="0"/>
            <c:showLeaderLines val="0"/>
          </c:dLbls>
          <c:cat>
            <c:numRef>
              <c:f>Лист1!$B$132:$F$132</c:f>
              <c:numCache>
                <c:formatCode>General</c:formatCode>
                <c:ptCount val="5"/>
                <c:pt idx="0">
                  <c:v>2013</c:v>
                </c:pt>
                <c:pt idx="1">
                  <c:v>2014</c:v>
                </c:pt>
                <c:pt idx="2">
                  <c:v>2015</c:v>
                </c:pt>
                <c:pt idx="3">
                  <c:v>2016</c:v>
                </c:pt>
                <c:pt idx="4">
                  <c:v>2017</c:v>
                </c:pt>
              </c:numCache>
            </c:numRef>
          </c:cat>
          <c:val>
            <c:numRef>
              <c:f>Лист1!$B$134:$F$134</c:f>
              <c:numCache>
                <c:formatCode>General</c:formatCode>
                <c:ptCount val="5"/>
                <c:pt idx="0">
                  <c:v>14892</c:v>
                </c:pt>
                <c:pt idx="1">
                  <c:v>16164</c:v>
                </c:pt>
                <c:pt idx="2">
                  <c:v>17917</c:v>
                </c:pt>
                <c:pt idx="3">
                  <c:v>18075</c:v>
                </c:pt>
                <c:pt idx="4">
                  <c:v>16929</c:v>
                </c:pt>
              </c:numCache>
            </c:numRef>
          </c:val>
        </c:ser>
        <c:dLbls>
          <c:dLblPos val="outEnd"/>
          <c:showLegendKey val="0"/>
          <c:showVal val="1"/>
          <c:showCatName val="0"/>
          <c:showSerName val="0"/>
          <c:showPercent val="0"/>
          <c:showBubbleSize val="0"/>
        </c:dLbls>
        <c:gapWidth val="76"/>
        <c:axId val="156955008"/>
        <c:axId val="156956544"/>
      </c:barChart>
      <c:catAx>
        <c:axId val="156955008"/>
        <c:scaling>
          <c:orientation val="minMax"/>
        </c:scaling>
        <c:delete val="0"/>
        <c:axPos val="b"/>
        <c:numFmt formatCode="General" sourceLinked="1"/>
        <c:majorTickMark val="out"/>
        <c:minorTickMark val="none"/>
        <c:tickLblPos val="nextTo"/>
        <c:spPr>
          <a:ln>
            <a:solidFill>
              <a:schemeClr val="tx1"/>
            </a:solidFill>
          </a:ln>
        </c:spPr>
        <c:txPr>
          <a:bodyPr/>
          <a:lstStyle/>
          <a:p>
            <a:pPr>
              <a:defRPr b="1" i="0" baseline="0"/>
            </a:pPr>
            <a:endParaRPr lang="ru-RU"/>
          </a:p>
        </c:txPr>
        <c:crossAx val="156956544"/>
        <c:crosses val="autoZero"/>
        <c:auto val="1"/>
        <c:lblAlgn val="ctr"/>
        <c:lblOffset val="100"/>
        <c:noMultiLvlLbl val="0"/>
      </c:catAx>
      <c:valAx>
        <c:axId val="156956544"/>
        <c:scaling>
          <c:orientation val="minMax"/>
        </c:scaling>
        <c:delete val="0"/>
        <c:axPos val="l"/>
        <c:numFmt formatCode="General" sourceLinked="1"/>
        <c:majorTickMark val="out"/>
        <c:minorTickMark val="none"/>
        <c:tickLblPos val="nextTo"/>
        <c:spPr>
          <a:ln>
            <a:solidFill>
              <a:schemeClr val="tx1"/>
            </a:solidFill>
          </a:ln>
        </c:spPr>
        <c:txPr>
          <a:bodyPr/>
          <a:lstStyle/>
          <a:p>
            <a:pPr>
              <a:defRPr b="1" i="0" baseline="0"/>
            </a:pPr>
            <a:endParaRPr lang="ru-RU"/>
          </a:p>
        </c:txPr>
        <c:crossAx val="156955008"/>
        <c:crosses val="autoZero"/>
        <c:crossBetween val="between"/>
      </c:valAx>
      <c:spPr>
        <a:gradFill flip="none" rotWithShape="1">
          <a:gsLst>
            <a:gs pos="0">
              <a:srgbClr val="FFFF99"/>
            </a:gs>
            <a:gs pos="59000">
              <a:srgbClr val="9BBB59">
                <a:lumMod val="40000"/>
                <a:lumOff val="60000"/>
              </a:srgbClr>
            </a:gs>
          </a:gsLst>
          <a:lin ang="18900000" scaled="1"/>
          <a:tileRect/>
        </a:gradFill>
        <a:ln>
          <a:noFill/>
        </a:ln>
      </c:spPr>
    </c:plotArea>
    <c:legend>
      <c:legendPos val="b"/>
      <c:layout>
        <c:manualLayout>
          <c:xMode val="edge"/>
          <c:yMode val="edge"/>
          <c:x val="0.18558843411814571"/>
          <c:y val="0.84876077887748991"/>
          <c:w val="0.62882292808739182"/>
          <c:h val="0.11844498874334394"/>
        </c:manualLayout>
      </c:layout>
      <c:overlay val="0"/>
      <c:txPr>
        <a:bodyPr/>
        <a:lstStyle/>
        <a:p>
          <a:pPr>
            <a:defRPr b="1" i="0" baseline="0"/>
          </a:pPr>
          <a:endParaRPr lang="ru-RU"/>
        </a:p>
      </c:txPr>
    </c:legend>
    <c:plotVisOnly val="1"/>
    <c:dispBlanksAs val="gap"/>
    <c:showDLblsOverMax val="0"/>
  </c:chart>
  <c:spPr>
    <a:gradFill flip="none" rotWithShape="1">
      <a:gsLst>
        <a:gs pos="0">
          <a:srgbClr val="FFFF99"/>
        </a:gs>
        <a:gs pos="68000">
          <a:srgbClr val="9BBB59">
            <a:lumMod val="40000"/>
            <a:lumOff val="60000"/>
          </a:srgbClr>
        </a:gs>
      </a:gsLst>
      <a:lin ang="18900000" scaled="1"/>
      <a:tileRect/>
    </a:grad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aseline="0">
                <a:latin typeface="Times New Roman" panose="02020603050405020304" pitchFamily="18" charset="0"/>
                <a:cs typeface="Times New Roman" panose="02020603050405020304" pitchFamily="18" charset="0"/>
              </a:rPr>
              <a:t>Категории дел, рассмотренные судом апелляционной инстанции в 2017 году</a:t>
            </a:r>
          </a:p>
        </c:rich>
      </c:tx>
      <c:layout>
        <c:manualLayout>
          <c:xMode val="edge"/>
          <c:yMode val="edge"/>
          <c:x val="0.10652646451929972"/>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i="0" baseline="0"/>
                </a:pPr>
                <a:endParaRPr lang="ru-RU"/>
              </a:p>
            </c:txPr>
            <c:dLblPos val="outEnd"/>
            <c:showLegendKey val="0"/>
            <c:showVal val="1"/>
            <c:showCatName val="0"/>
            <c:showSerName val="0"/>
            <c:showPercent val="0"/>
            <c:showBubbleSize val="0"/>
            <c:showLeaderLines val="1"/>
          </c:dLbls>
          <c:cat>
            <c:strRef>
              <c:f>Лист1!$A$157:$I$157</c:f>
              <c:strCache>
                <c:ptCount val="9"/>
                <c:pt idx="0">
                  <c:v>земельные споры</c:v>
                </c:pt>
                <c:pt idx="1">
                  <c:v>споры, возникающие из пенсионного законодательства</c:v>
                </c:pt>
                <c:pt idx="2">
                  <c:v>трудовые споры</c:v>
                </c:pt>
                <c:pt idx="3">
                  <c:v>семейные споры</c:v>
                </c:pt>
                <c:pt idx="4">
                  <c:v>защита прав потребителей</c:v>
                </c:pt>
                <c:pt idx="5">
                  <c:v>возмещение ущерба от ДТП</c:v>
                </c:pt>
                <c:pt idx="6">
                  <c:v>жилищные споры</c:v>
                </c:pt>
                <c:pt idx="7">
                  <c:v>взыскание страхового возмещения</c:v>
                </c:pt>
                <c:pt idx="8">
                  <c:v>взыскание сумм по договору найма</c:v>
                </c:pt>
              </c:strCache>
            </c:strRef>
          </c:cat>
          <c:val>
            <c:numRef>
              <c:f>Лист1!$A$158:$I$158</c:f>
              <c:numCache>
                <c:formatCode>0%</c:formatCode>
                <c:ptCount val="9"/>
                <c:pt idx="0">
                  <c:v>0.13</c:v>
                </c:pt>
                <c:pt idx="1">
                  <c:v>0.06</c:v>
                </c:pt>
                <c:pt idx="2">
                  <c:v>0.14000000000000001</c:v>
                </c:pt>
                <c:pt idx="3">
                  <c:v>7.0000000000000007E-2</c:v>
                </c:pt>
                <c:pt idx="4">
                  <c:v>0.17</c:v>
                </c:pt>
                <c:pt idx="5">
                  <c:v>0.03</c:v>
                </c:pt>
                <c:pt idx="6">
                  <c:v>0.18</c:v>
                </c:pt>
                <c:pt idx="7">
                  <c:v>0.11</c:v>
                </c:pt>
                <c:pt idx="8">
                  <c:v>0.11</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3604252080586166"/>
          <c:y val="0.18031741072706278"/>
          <c:w val="0.35453462703405153"/>
          <c:h val="0.71760058610754984"/>
        </c:manualLayout>
      </c:layout>
      <c:overlay val="0"/>
      <c:txPr>
        <a:bodyPr/>
        <a:lstStyle/>
        <a:p>
          <a:pPr>
            <a:defRPr b="1" i="0" baseline="0">
              <a:solidFill>
                <a:sysClr val="windowText" lastClr="000000"/>
              </a:solidFill>
            </a:defRPr>
          </a:pPr>
          <a:endParaRPr lang="ru-RU"/>
        </a:p>
      </c:txPr>
    </c:legend>
    <c:plotVisOnly val="1"/>
    <c:dispBlanksAs val="gap"/>
    <c:showDLblsOverMax val="0"/>
  </c:chart>
  <c:spPr>
    <a:gradFill>
      <a:gsLst>
        <a:gs pos="17000">
          <a:schemeClr val="accent6">
            <a:lumMod val="40000"/>
            <a:lumOff val="60000"/>
          </a:schemeClr>
        </a:gs>
        <a:gs pos="100000">
          <a:schemeClr val="accent1">
            <a:lumMod val="20000"/>
            <a:lumOff val="80000"/>
          </a:schemeClr>
        </a:gs>
      </a:gsLst>
      <a:lin ang="0" scaled="1"/>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0.72142</cdr:x>
      <cdr:y>0.27441</cdr:y>
    </cdr:from>
    <cdr:to>
      <cdr:x>0.88451</cdr:x>
      <cdr:y>0.31057</cdr:y>
    </cdr:to>
    <cdr:sp macro="" textlink="">
      <cdr:nvSpPr>
        <cdr:cNvPr id="132097" name="Text Box 1"/>
        <cdr:cNvSpPr txBox="1">
          <a:spLocks xmlns:a="http://schemas.openxmlformats.org/drawingml/2006/main" noChangeArrowheads="1"/>
        </cdr:cNvSpPr>
      </cdr:nvSpPr>
      <cdr:spPr bwMode="auto">
        <a:xfrm xmlns:a="http://schemas.openxmlformats.org/drawingml/2006/main">
          <a:off x="5208125" y="1283428"/>
          <a:ext cx="1204630" cy="16993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0.85458</cdr:x>
      <cdr:y>0.19758</cdr:y>
    </cdr:from>
    <cdr:to>
      <cdr:x>0.93853</cdr:x>
      <cdr:y>0.22301</cdr:y>
    </cdr:to>
    <cdr:sp macro="" textlink="">
      <cdr:nvSpPr>
        <cdr:cNvPr id="137217" name="Text Box 1"/>
        <cdr:cNvSpPr txBox="1">
          <a:spLocks xmlns:a="http://schemas.openxmlformats.org/drawingml/2006/main" noChangeArrowheads="1"/>
        </cdr:cNvSpPr>
      </cdr:nvSpPr>
      <cdr:spPr bwMode="auto">
        <a:xfrm xmlns:a="http://schemas.openxmlformats.org/drawingml/2006/main">
          <a:off x="7394941" y="920090"/>
          <a:ext cx="726719" cy="11811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0.85458</cdr:x>
      <cdr:y>0.19758</cdr:y>
    </cdr:from>
    <cdr:to>
      <cdr:x>0.93853</cdr:x>
      <cdr:y>0.22301</cdr:y>
    </cdr:to>
    <cdr:sp macro="" textlink="">
      <cdr:nvSpPr>
        <cdr:cNvPr id="4" name="Text Box 1"/>
        <cdr:cNvSpPr txBox="1">
          <a:spLocks xmlns:a="http://schemas.openxmlformats.org/drawingml/2006/main" noChangeArrowheads="1"/>
        </cdr:cNvSpPr>
      </cdr:nvSpPr>
      <cdr:spPr bwMode="auto">
        <a:xfrm xmlns:a="http://schemas.openxmlformats.org/drawingml/2006/main">
          <a:off x="7394941" y="920090"/>
          <a:ext cx="726719" cy="11811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7220</TotalTime>
  <Pages>68</Pages>
  <Words>19632</Words>
  <Characters>111908</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Рубан Людмила Петровна</dc:creator>
  <cp:lastModifiedBy>Рубан Людмила Петровна</cp:lastModifiedBy>
  <cp:revision>9</cp:revision>
  <cp:lastPrinted>2018-06-04T14:18:00Z</cp:lastPrinted>
  <dcterms:created xsi:type="dcterms:W3CDTF">2018-05-30T12:14:00Z</dcterms:created>
  <dcterms:modified xsi:type="dcterms:W3CDTF">2018-06-05T07:01:00Z</dcterms:modified>
</cp:coreProperties>
</file>